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81B4" w14:textId="0BD3EA8C" w:rsidR="00587784" w:rsidRPr="00587784" w:rsidRDefault="00587784" w:rsidP="00587784">
      <w:pPr>
        <w:spacing w:after="60" w:line="240" w:lineRule="atLeast"/>
        <w:jc w:val="center"/>
        <w:rPr>
          <w:rFonts w:ascii="Palatino Linotype" w:hAnsi="Palatino Linotype" w:cstheme="majorBidi"/>
          <w:b/>
          <w:bCs/>
          <w:sz w:val="24"/>
          <w:szCs w:val="24"/>
          <w:lang w:bidi="ar-EG"/>
        </w:rPr>
      </w:pPr>
      <w:r w:rsidRPr="00587784">
        <w:rPr>
          <w:rFonts w:ascii="Palatino Linotype" w:hAnsi="Palatino Linotype" w:cstheme="majorBidi"/>
          <w:b/>
          <w:bCs/>
          <w:sz w:val="24"/>
          <w:szCs w:val="24"/>
          <w:lang w:bidi="ar-EG"/>
        </w:rPr>
        <w:t>The Impact of digital Transformation on the Labour Market in Egypt</w:t>
      </w:r>
    </w:p>
    <w:p w14:paraId="7491E5FA" w14:textId="77777777" w:rsidR="00A01C33" w:rsidRPr="00F77287" w:rsidRDefault="00A01C33" w:rsidP="00A01C33">
      <w:pPr>
        <w:spacing w:after="60" w:line="240" w:lineRule="atLeast"/>
        <w:jc w:val="center"/>
        <w:rPr>
          <w:rFonts w:ascii="Palatino Linotype" w:hAnsi="Palatino Linotype" w:cs="Simplified Arabic"/>
          <w:b/>
          <w:bCs/>
          <w:sz w:val="18"/>
          <w:szCs w:val="18"/>
          <w:lang w:val="en-GB"/>
        </w:rPr>
      </w:pPr>
    </w:p>
    <w:p w14:paraId="0E8BA3E2" w14:textId="77DDA63B" w:rsidR="00A01C33" w:rsidRDefault="00A01C33" w:rsidP="00F77287">
      <w:pPr>
        <w:spacing w:after="60" w:line="240" w:lineRule="atLeast"/>
        <w:jc w:val="center"/>
        <w:rPr>
          <w:rFonts w:ascii="Palatino Linotype" w:hAnsi="Palatino Linotype" w:cs="Simplified Arabic"/>
          <w:b/>
          <w:bCs/>
          <w:sz w:val="16"/>
          <w:szCs w:val="16"/>
          <w:lang w:val="en-GB" w:bidi="ar-EG"/>
        </w:rPr>
      </w:pPr>
      <w:r>
        <w:rPr>
          <w:rFonts w:ascii="Palatino Linotype" w:hAnsi="Palatino Linotype" w:cs="Simplified Arabic"/>
          <w:b/>
          <w:bCs/>
          <w:lang w:val="en-GB"/>
        </w:rPr>
        <w:t>Hasnaa K. A</w:t>
      </w:r>
      <w:r>
        <w:rPr>
          <w:rFonts w:ascii="Palatino Linotype" w:hAnsi="Palatino Linotype" w:cs="Simplified Arabic"/>
          <w:b/>
          <w:bCs/>
        </w:rPr>
        <w:t>bdel</w:t>
      </w:r>
      <w:r>
        <w:rPr>
          <w:rFonts w:ascii="Palatino Linotype" w:hAnsi="Palatino Linotype" w:cs="Simplified Arabic"/>
          <w:b/>
          <w:bCs/>
          <w:lang w:val="en-GB"/>
        </w:rPr>
        <w:t xml:space="preserve"> Kader </w:t>
      </w:r>
      <w:r>
        <w:rPr>
          <w:rFonts w:ascii="Palatino Linotype" w:hAnsi="Palatino Linotype" w:cs="Simplified Arabic"/>
          <w:b/>
          <w:bCs/>
          <w:vertAlign w:val="superscript"/>
          <w:lang w:val="en-GB"/>
        </w:rPr>
        <w:t>1</w:t>
      </w:r>
      <w:r>
        <w:rPr>
          <w:rFonts w:ascii="Palatino Linotype" w:hAnsi="Palatino Linotype" w:cs="Simplified Arabic"/>
          <w:b/>
          <w:bCs/>
          <w:lang w:val="en-GB"/>
        </w:rPr>
        <w:t xml:space="preserve">, Hafez </w:t>
      </w:r>
      <w:r>
        <w:rPr>
          <w:rFonts w:ascii="Palatino Linotype" w:hAnsi="Palatino Linotype" w:cs="Simplified Arabic"/>
          <w:b/>
          <w:bCs/>
        </w:rPr>
        <w:t xml:space="preserve">M. M. </w:t>
      </w:r>
      <w:r>
        <w:rPr>
          <w:rFonts w:ascii="Palatino Linotype" w:hAnsi="Palatino Linotype" w:cs="Simplified Arabic"/>
          <w:b/>
          <w:bCs/>
          <w:lang w:val="en-GB"/>
        </w:rPr>
        <w:t xml:space="preserve">Shaltout </w:t>
      </w:r>
      <w:r>
        <w:rPr>
          <w:rFonts w:ascii="Palatino Linotype" w:hAnsi="Palatino Linotype" w:cs="Simplified Arabic"/>
          <w:b/>
          <w:bCs/>
          <w:vertAlign w:val="superscript"/>
          <w:lang w:val="en-GB"/>
        </w:rPr>
        <w:t>1</w:t>
      </w:r>
      <w:r>
        <w:rPr>
          <w:rFonts w:ascii="Palatino Linotype" w:hAnsi="Palatino Linotype" w:cs="Simplified Arabic"/>
          <w:b/>
          <w:bCs/>
          <w:vertAlign w:val="superscript"/>
        </w:rPr>
        <w:t xml:space="preserve"> </w:t>
      </w:r>
      <w:r>
        <w:rPr>
          <w:rFonts w:ascii="Palatino Linotype" w:hAnsi="Palatino Linotype" w:cs="Simplified Arabic"/>
          <w:b/>
          <w:bCs/>
        </w:rPr>
        <w:t>and</w:t>
      </w:r>
      <w:r>
        <w:rPr>
          <w:rFonts w:ascii="Palatino Linotype" w:hAnsi="Palatino Linotype" w:cs="Simplified Arabic"/>
          <w:b/>
          <w:bCs/>
          <w:lang w:val="en-GB"/>
        </w:rPr>
        <w:t xml:space="preserve"> Doaa A</w:t>
      </w:r>
      <w:r>
        <w:rPr>
          <w:rFonts w:ascii="Palatino Linotype" w:hAnsi="Palatino Linotype" w:cs="Simplified Arabic"/>
          <w:b/>
          <w:bCs/>
        </w:rPr>
        <w:t>kl</w:t>
      </w:r>
      <w:r>
        <w:rPr>
          <w:rFonts w:ascii="Palatino Linotype" w:hAnsi="Palatino Linotype" w:cs="Simplified Arabic"/>
          <w:b/>
          <w:bCs/>
          <w:lang w:val="en-GB"/>
        </w:rPr>
        <w:t xml:space="preserve"> </w:t>
      </w:r>
      <w:r>
        <w:rPr>
          <w:rFonts w:ascii="Palatino Linotype" w:hAnsi="Palatino Linotype" w:cs="Simplified Arabic"/>
          <w:b/>
          <w:bCs/>
          <w:vertAlign w:val="superscript"/>
          <w:lang w:val="en-GB"/>
        </w:rPr>
        <w:t>1</w:t>
      </w:r>
    </w:p>
    <w:p w14:paraId="481B4C6A" w14:textId="77777777" w:rsidR="00F77287" w:rsidRPr="00F77287" w:rsidRDefault="00F77287" w:rsidP="00F77287">
      <w:pPr>
        <w:spacing w:after="60" w:line="240" w:lineRule="atLeast"/>
        <w:jc w:val="center"/>
        <w:rPr>
          <w:rFonts w:ascii="Palatino Linotype" w:hAnsi="Palatino Linotype" w:cs="Simplified Arabic"/>
          <w:b/>
          <w:bCs/>
          <w:sz w:val="16"/>
          <w:szCs w:val="16"/>
          <w:lang w:val="en-GB" w:bidi="ar-EG"/>
        </w:rPr>
      </w:pPr>
    </w:p>
    <w:p w14:paraId="405FDBDF" w14:textId="39C5F92C" w:rsidR="00A01C33" w:rsidRPr="00F77287" w:rsidRDefault="00A01C33" w:rsidP="00F77287">
      <w:pPr>
        <w:autoSpaceDE w:val="0"/>
        <w:autoSpaceDN w:val="0"/>
        <w:adjustRightInd w:val="0"/>
        <w:spacing w:after="60" w:line="240" w:lineRule="atLeast"/>
        <w:ind w:left="270" w:hanging="270"/>
        <w:jc w:val="left"/>
        <w:rPr>
          <w:rFonts w:ascii="Palatino Linotype" w:eastAsia="Times New Roman" w:hAnsi="Palatino Linotype" w:cstheme="majorBidi"/>
          <w:noProof w:val="0"/>
          <w:color w:val="auto"/>
          <w:sz w:val="18"/>
          <w:szCs w:val="18"/>
          <w:lang w:eastAsia="en-US" w:bidi="ar-JO"/>
        </w:rPr>
      </w:pPr>
      <w:r w:rsidRPr="00A01C33">
        <w:rPr>
          <w:rFonts w:ascii="Palatino Linotype" w:eastAsia="Times New Roman" w:hAnsi="Palatino Linotype" w:cstheme="majorBidi"/>
          <w:noProof w:val="0"/>
          <w:color w:val="auto"/>
          <w:sz w:val="18"/>
          <w:szCs w:val="18"/>
          <w:lang w:eastAsia="en-US" w:bidi="ar-JO"/>
        </w:rPr>
        <w:t xml:space="preserve">1 </w:t>
      </w:r>
      <w:r w:rsidRPr="00A01C33">
        <w:rPr>
          <w:rFonts w:ascii="Palatino Linotype" w:eastAsia="Times New Roman" w:hAnsi="Palatino Linotype" w:cstheme="majorBidi"/>
          <w:noProof w:val="0"/>
          <w:color w:val="auto"/>
          <w:sz w:val="18"/>
          <w:szCs w:val="18"/>
          <w:lang w:eastAsia="en-US" w:bidi="ar-JO"/>
        </w:rPr>
        <w:t xml:space="preserve">Department of Economics, Faculty of Commerce, </w:t>
      </w:r>
      <w:proofErr w:type="spellStart"/>
      <w:r w:rsidRPr="00A01C33">
        <w:rPr>
          <w:rFonts w:ascii="Palatino Linotype" w:eastAsia="Times New Roman" w:hAnsi="Palatino Linotype" w:cstheme="majorBidi"/>
          <w:noProof w:val="0"/>
          <w:color w:val="auto"/>
          <w:sz w:val="18"/>
          <w:szCs w:val="18"/>
          <w:lang w:eastAsia="en-US" w:bidi="ar-JO"/>
        </w:rPr>
        <w:t>Benha</w:t>
      </w:r>
      <w:proofErr w:type="spellEnd"/>
      <w:r w:rsidRPr="00A01C33">
        <w:rPr>
          <w:rFonts w:ascii="Palatino Linotype" w:eastAsia="Times New Roman" w:hAnsi="Palatino Linotype" w:cstheme="majorBidi"/>
          <w:noProof w:val="0"/>
          <w:color w:val="auto"/>
          <w:sz w:val="18"/>
          <w:szCs w:val="18"/>
          <w:lang w:eastAsia="en-US" w:bidi="ar-JO"/>
        </w:rPr>
        <w:t xml:space="preserve"> University (Egypt).</w:t>
      </w:r>
    </w:p>
    <w:p w14:paraId="3882CAC9" w14:textId="1F0CB703" w:rsidR="00A01C33" w:rsidRDefault="00A01C33" w:rsidP="00A01C33">
      <w:pPr>
        <w:spacing w:after="60" w:line="240" w:lineRule="atLeast"/>
        <w:rPr>
          <w:rFonts w:ascii="Palatino Linotype" w:hAnsi="Palatino Linotype" w:cs="Simplified Arabic"/>
          <w:lang w:val="en-GB"/>
        </w:rPr>
      </w:pPr>
      <w:r w:rsidRPr="00A01C33">
        <w:rPr>
          <w:rFonts w:ascii="Palatino Linotype" w:hAnsi="Palatino Linotype" w:cs="Simplified Arabic"/>
          <w:lang w:val="en-GB"/>
        </w:rPr>
        <w:t xml:space="preserve">Email: </w:t>
      </w:r>
      <w:hyperlink r:id="rId7" w:history="1">
        <w:r w:rsidR="00F77287" w:rsidRPr="00E9582E">
          <w:rPr>
            <w:rStyle w:val="Hyperlink"/>
            <w:rFonts w:ascii="Palatino Linotype" w:hAnsi="Palatino Linotype" w:cs="Simplified Arabic"/>
            <w:lang w:val="en-GB"/>
          </w:rPr>
          <w:t>hasnaa.kamal@fcom.bu.edu.eg</w:t>
        </w:r>
      </w:hyperlink>
    </w:p>
    <w:p w14:paraId="77F9D8CB" w14:textId="5D06154C" w:rsidR="00F77287" w:rsidRDefault="00F77287" w:rsidP="00F77287">
      <w:pPr>
        <w:spacing w:after="60" w:line="240" w:lineRule="atLeast"/>
        <w:rPr>
          <w:rFonts w:ascii="Palatino Linotype" w:hAnsi="Palatino Linotype" w:cs="Simplified Arabic"/>
          <w:lang w:val="en-GB"/>
        </w:rPr>
      </w:pPr>
      <w:r w:rsidRPr="00A01C33">
        <w:rPr>
          <w:rFonts w:ascii="Palatino Linotype" w:hAnsi="Palatino Linotype" w:cs="Simplified Arabic"/>
          <w:lang w:val="en-GB"/>
        </w:rPr>
        <w:t xml:space="preserve">Email: </w:t>
      </w:r>
      <w:hyperlink r:id="rId8" w:history="1">
        <w:r w:rsidRPr="00E9582E">
          <w:rPr>
            <w:rStyle w:val="Hyperlink"/>
            <w:rFonts w:ascii="Palatino Linotype" w:hAnsi="Palatino Linotype" w:cs="Simplified Arabic"/>
            <w:lang w:val="en-GB"/>
          </w:rPr>
          <w:t>hafez.shaltot@fcom.bu.edu.eg</w:t>
        </w:r>
      </w:hyperlink>
    </w:p>
    <w:p w14:paraId="7D52C844" w14:textId="10F15317" w:rsidR="00A01C33" w:rsidRDefault="00A01C33" w:rsidP="00A01C33">
      <w:pPr>
        <w:spacing w:after="60" w:line="240" w:lineRule="atLeast"/>
        <w:rPr>
          <w:rFonts w:ascii="Palatino Linotype" w:hAnsi="Palatino Linotype" w:cs="Simplified Arabic"/>
          <w:lang w:val="en-GB"/>
        </w:rPr>
      </w:pPr>
      <w:r w:rsidRPr="00A01C33">
        <w:rPr>
          <w:rFonts w:ascii="Palatino Linotype" w:hAnsi="Palatino Linotype" w:cs="Simplified Arabic"/>
          <w:lang w:val="en-GB"/>
        </w:rPr>
        <w:t xml:space="preserve">Email: </w:t>
      </w:r>
      <w:hyperlink r:id="rId9" w:history="1">
        <w:r w:rsidRPr="00E9582E">
          <w:rPr>
            <w:rStyle w:val="Hyperlink"/>
            <w:rFonts w:ascii="Palatino Linotype" w:hAnsi="Palatino Linotype" w:cs="Simplified Arabic"/>
            <w:lang w:val="en-GB"/>
          </w:rPr>
          <w:t>doaa.ahmed01@fcom.bu.edu.eg</w:t>
        </w:r>
      </w:hyperlink>
    </w:p>
    <w:p w14:paraId="5C23DD39" w14:textId="29C51E8C" w:rsidR="00A01C33" w:rsidRDefault="00A01C33" w:rsidP="00A01C33">
      <w:pPr>
        <w:spacing w:after="60" w:line="240" w:lineRule="atLeast"/>
        <w:rPr>
          <w:rFonts w:ascii="Palatino Linotype" w:hAnsi="Palatino Linotype" w:cs="Simplified Arabic"/>
          <w:lang w:val="en-GB"/>
        </w:rPr>
      </w:pPr>
      <w:r w:rsidRPr="00A01C33">
        <w:rPr>
          <w:rFonts w:ascii="Palatino Linotype" w:hAnsi="Palatino Linotype" w:cs="Simplified Arabic"/>
          <w:lang w:val="en-GB"/>
        </w:rPr>
        <w:t xml:space="preserve">*Coresponding Author: </w:t>
      </w:r>
      <w:hyperlink r:id="rId10" w:history="1">
        <w:r w:rsidRPr="00E9582E">
          <w:rPr>
            <w:rStyle w:val="Hyperlink"/>
            <w:rFonts w:ascii="Palatino Linotype" w:hAnsi="Palatino Linotype" w:cs="Simplified Arabic"/>
            <w:lang w:val="en-GB"/>
          </w:rPr>
          <w:t>hasnaa.kamal@fcom.bu.edu.eg</w:t>
        </w:r>
      </w:hyperlink>
    </w:p>
    <w:p w14:paraId="501A71FE" w14:textId="77777777" w:rsidR="00E15A27" w:rsidRPr="00115212" w:rsidRDefault="00E15A27" w:rsidP="00587784">
      <w:pPr>
        <w:spacing w:after="60" w:line="240" w:lineRule="atLeast"/>
        <w:rPr>
          <w:rFonts w:ascii="Palatino Linotype" w:hAnsi="Palatino Linotype" w:cs="Simplified Arabic"/>
        </w:rPr>
      </w:pPr>
    </w:p>
    <w:p w14:paraId="0A63862E" w14:textId="77777777" w:rsidR="00587784" w:rsidRPr="00E15A27" w:rsidRDefault="00587784" w:rsidP="00E15A27">
      <w:pPr>
        <w:tabs>
          <w:tab w:val="left" w:pos="4031"/>
          <w:tab w:val="center" w:pos="4513"/>
        </w:tabs>
        <w:spacing w:after="60" w:line="240" w:lineRule="atLeast"/>
        <w:jc w:val="center"/>
        <w:rPr>
          <w:rFonts w:ascii="Palatino Linotype" w:hAnsi="Palatino Linotype" w:cstheme="majorBidi"/>
          <w:b/>
          <w:bCs/>
          <w:sz w:val="24"/>
          <w:szCs w:val="24"/>
          <w:lang w:bidi="ar-EG"/>
        </w:rPr>
      </w:pPr>
      <w:r w:rsidRPr="00E15A27">
        <w:rPr>
          <w:rFonts w:ascii="Palatino Linotype" w:hAnsi="Palatino Linotype" w:cstheme="majorBidi"/>
          <w:b/>
          <w:bCs/>
          <w:sz w:val="24"/>
          <w:szCs w:val="24"/>
          <w:lang w:bidi="ar-EG"/>
        </w:rPr>
        <w:t>Abstract</w:t>
      </w:r>
    </w:p>
    <w:p w14:paraId="271F5805" w14:textId="77777777" w:rsidR="00587784" w:rsidRPr="00B67805" w:rsidRDefault="00587784" w:rsidP="00E15A27">
      <w:pPr>
        <w:pStyle w:val="NormalWeb"/>
        <w:spacing w:after="60" w:line="240" w:lineRule="atLeast"/>
        <w:ind w:left="900" w:right="1113"/>
        <w:rPr>
          <w:rFonts w:ascii="Palatino Linotype" w:hAnsi="Palatino Linotype" w:cs="Simplified Arabic"/>
          <w:szCs w:val="20"/>
          <w:lang w:val="en-GB"/>
        </w:rPr>
      </w:pPr>
      <w:r w:rsidRPr="00B67805">
        <w:rPr>
          <w:rFonts w:ascii="Palatino Linotype" w:hAnsi="Palatino Linotype" w:cs="Simplified Arabic"/>
          <w:szCs w:val="20"/>
          <w:lang w:val="en-GB"/>
        </w:rPr>
        <w:t>This paper examines the impact of digital transformation on the Egyptian labour market over the period 2002–2024. It reviews the relevant theoretical and empirical literature on the relationship between digital transformation, human capital, investment, and labour-market outcomes. The study employs the Autoregressive Distributed Lag (ARDL) model to estimate the effect of digital transformation on unemployment in Egypt. The results indicate that digital transformation is significantly associated with lower unemployment. In the long run, fixed broadband penetration (a proxy for digital transformation) is negatively and statistically significantly associated with unemployment, suggesting that stronger digital connectivity contributes to improved labour-market outcomes. The findings also show that the unemployment-reducing effect of digital connectivity strengthens as tertiary education increases, highlighting the complementary role of human capital in leveraging digital infrastructure to reduce</w:t>
      </w:r>
      <w:r w:rsidRPr="00B67805">
        <w:rPr>
          <w:rFonts w:ascii="Palatino Linotype" w:hAnsi="Palatino Linotype" w:cs="Simplified Arabic"/>
          <w:szCs w:val="20"/>
        </w:rPr>
        <w:t xml:space="preserve"> the unemployment rate</w:t>
      </w:r>
      <w:r w:rsidRPr="00B67805">
        <w:rPr>
          <w:rFonts w:ascii="Palatino Linotype" w:hAnsi="Palatino Linotype" w:cs="Simplified Arabic"/>
          <w:szCs w:val="20"/>
          <w:lang w:val="en-GB"/>
        </w:rPr>
        <w:t>. Gross fixed capital formation also has a negative, significant long-run effect on unemployment, indicating that physical capital accumulation supports job creation. Overall, the evidence suggests that digital infrastructure alone is not sufficient to maximise the labour-market benefits of digital transformation; rather, these benefits depend critically on the interaction between digital connectivity and human capital.</w:t>
      </w:r>
    </w:p>
    <w:p w14:paraId="78809254" w14:textId="77777777" w:rsidR="00587784" w:rsidRPr="00B67805" w:rsidRDefault="00587784" w:rsidP="00E15A27">
      <w:pPr>
        <w:spacing w:after="60" w:line="240" w:lineRule="atLeast"/>
        <w:ind w:left="900"/>
        <w:rPr>
          <w:rFonts w:ascii="Palatino Linotype" w:hAnsi="Palatino Linotype" w:cs="Simplified Arabic"/>
          <w:lang w:val="en-GB"/>
        </w:rPr>
      </w:pPr>
      <w:r w:rsidRPr="00B67805">
        <w:rPr>
          <w:rFonts w:ascii="Palatino Linotype" w:hAnsi="Palatino Linotype" w:cs="Simplified Arabic"/>
          <w:lang w:val="en-GB"/>
        </w:rPr>
        <w:t>JEL classifications: J01, C22, O33, E24, I25.</w:t>
      </w:r>
    </w:p>
    <w:p w14:paraId="777A8A89" w14:textId="77777777" w:rsidR="00587784" w:rsidRDefault="00587784" w:rsidP="00E15A27">
      <w:pPr>
        <w:autoSpaceDE w:val="0"/>
        <w:autoSpaceDN w:val="0"/>
        <w:adjustRightInd w:val="0"/>
        <w:spacing w:after="60" w:line="240" w:lineRule="atLeast"/>
        <w:ind w:left="900" w:right="1023"/>
        <w:rPr>
          <w:rFonts w:ascii="Palatino Linotype" w:hAnsi="Palatino Linotype" w:cs="Simplified Arabic"/>
          <w:lang w:val="en-GB"/>
        </w:rPr>
      </w:pPr>
      <w:r w:rsidRPr="00587784">
        <w:rPr>
          <w:rFonts w:ascii="Palatino Linotype" w:hAnsi="Palatino Linotype" w:cs="Simplified Arabic"/>
          <w:b/>
          <w:bCs/>
          <w:lang w:val="en-GB"/>
        </w:rPr>
        <w:t>Keywords</w:t>
      </w:r>
      <w:r w:rsidRPr="00B67805">
        <w:rPr>
          <w:rFonts w:ascii="Palatino Linotype" w:hAnsi="Palatino Linotype" w:cs="Simplified Arabic"/>
          <w:lang w:val="en-GB"/>
        </w:rPr>
        <w:t>: Digital transformation, labour market, Automation, Unemployment.</w:t>
      </w:r>
    </w:p>
    <w:p w14:paraId="1BEEF665" w14:textId="77777777" w:rsidR="00E15A27" w:rsidRDefault="00E15A27" w:rsidP="00E15A27">
      <w:pPr>
        <w:bidi/>
        <w:spacing w:after="60" w:line="240" w:lineRule="atLeast"/>
        <w:jc w:val="center"/>
        <w:rPr>
          <w:rFonts w:ascii="Palatino Linotype" w:hAnsi="Palatino Linotype" w:cs="Simplified Arabic"/>
          <w:lang w:val="en-GB"/>
        </w:rPr>
      </w:pPr>
    </w:p>
    <w:p w14:paraId="396A23B2" w14:textId="619FFABB" w:rsidR="00587784" w:rsidRPr="00D6346F" w:rsidRDefault="00587784" w:rsidP="00587784">
      <w:pPr>
        <w:pStyle w:val="ListParagraph"/>
        <w:numPr>
          <w:ilvl w:val="0"/>
          <w:numId w:val="15"/>
        </w:numPr>
        <w:spacing w:after="60" w:line="240" w:lineRule="atLeast"/>
        <w:ind w:left="426" w:firstLineChars="0"/>
        <w:contextualSpacing/>
        <w:rPr>
          <w:rFonts w:cs="Simplified Arabic"/>
          <w:b/>
          <w:bCs/>
          <w:sz w:val="24"/>
          <w:szCs w:val="24"/>
          <w:rtl/>
          <w:lang w:val="en-GB"/>
        </w:rPr>
      </w:pPr>
      <w:r w:rsidRPr="00D6346F">
        <w:rPr>
          <w:rFonts w:cs="Simplified Arabic"/>
          <w:b/>
          <w:bCs/>
          <w:sz w:val="24"/>
          <w:szCs w:val="24"/>
          <w:lang w:val="en-GB"/>
        </w:rPr>
        <w:lastRenderedPageBreak/>
        <w:t>Introduction</w:t>
      </w:r>
    </w:p>
    <w:p w14:paraId="37E83C74" w14:textId="799BD04B" w:rsidR="00587784" w:rsidRPr="00B67805" w:rsidRDefault="00D6346F" w:rsidP="00D6346F">
      <w:pPr>
        <w:tabs>
          <w:tab w:val="left" w:pos="142"/>
        </w:tabs>
        <w:spacing w:after="60" w:line="240" w:lineRule="atLeast"/>
        <w:rPr>
          <w:rFonts w:ascii="Palatino Linotype" w:hAnsi="Palatino Linotype" w:cs="Simplified Arabic"/>
          <w:lang w:val="en-GB" w:bidi="ar-EG"/>
        </w:rPr>
      </w:pPr>
      <w:r>
        <w:rPr>
          <w:rFonts w:ascii="Palatino Linotype" w:hAnsi="Palatino Linotype" w:cs="Simplified Arabic"/>
          <w:lang w:val="en-GB" w:bidi="ar-EG"/>
        </w:rPr>
        <w:tab/>
      </w:r>
      <w:r>
        <w:rPr>
          <w:rFonts w:ascii="Palatino Linotype" w:hAnsi="Palatino Linotype" w:cs="Simplified Arabic"/>
          <w:lang w:val="en-GB" w:bidi="ar-EG"/>
        </w:rPr>
        <w:tab/>
      </w:r>
      <w:r w:rsidR="00587784" w:rsidRPr="00B67805">
        <w:rPr>
          <w:rFonts w:ascii="Palatino Linotype" w:hAnsi="Palatino Linotype" w:cs="Simplified Arabic"/>
          <w:lang w:val="en-GB" w:bidi="ar-EG"/>
        </w:rPr>
        <w:t>Digital transformation (DT) has become an important driver of economic and structural change, with significant implications for employment, the nature of work, and the skills required in labour markets. The adoption of digital technologies can increase productivity, create new economic activities, and generate new forms of employment. At the same time, technological progress can replace workers performing routine, easily automated tasks. Consequently, the impact of digital transformation on employment is not necessarily unidirectional. Still, it depends on the nature of technological adoption, the structure of the economy, workers' skills, and labour markets' ability to adapt to structural change (Akerman et al., 2015, pp. 1781–1784).</w:t>
      </w:r>
    </w:p>
    <w:p w14:paraId="63641158" w14:textId="413AAF39" w:rsidR="00587784" w:rsidRPr="00B67805" w:rsidRDefault="00D6346F" w:rsidP="00D6346F">
      <w:pPr>
        <w:spacing w:after="60" w:line="240" w:lineRule="atLeast"/>
        <w:rPr>
          <w:rFonts w:ascii="Palatino Linotype" w:hAnsi="Palatino Linotype" w:cs="Simplified Arabic"/>
          <w:lang w:val="en-GB" w:bidi="ar-EG"/>
        </w:rPr>
      </w:pPr>
      <w:r>
        <w:rPr>
          <w:rFonts w:ascii="Palatino Linotype" w:hAnsi="Palatino Linotype" w:cs="Simplified Arabic"/>
          <w:lang w:val="en-GB" w:bidi="ar-EG"/>
        </w:rPr>
        <w:tab/>
      </w:r>
      <w:r w:rsidR="00587784" w:rsidRPr="00B67805">
        <w:rPr>
          <w:rFonts w:ascii="Palatino Linotype" w:hAnsi="Palatino Linotype" w:cs="Simplified Arabic"/>
          <w:lang w:val="en-GB" w:bidi="ar-EG"/>
        </w:rPr>
        <w:t>The changing nature of work driven by digital transformation has heightened the importance of reskilling and upskilling. As automation transforms or replaces existing tasks, workers need new combinations of technical, cognitive, and interpersonal skills to adapt to changing labour-market demands and reduce the risk of technological unemployment. Therefore, the labour-market effects of digital transformation depend not only on digital infrastructure but also on workers' and educational systems' capacity to develop and apply relevant skills. Akerman et al. (2015) demonstrate this interaction, finding that broadband adoption complements skilled workers' performance of non-routine abstract tasks. Still, substitutes for unskilled workers engaged in routine tasks, resulting in more favourable productivity and labour outcomes for the former (Akerman et al., 2015, pp. 1781–1784). Human capital thus shapes the extent to which digital connectivity generates labour-market benefits rather than employment disruption.</w:t>
      </w:r>
    </w:p>
    <w:p w14:paraId="10FA49B1" w14:textId="132A520A" w:rsidR="00587784" w:rsidRPr="00B67805" w:rsidRDefault="00587784" w:rsidP="00D6346F">
      <w:pPr>
        <w:spacing w:after="60" w:line="240" w:lineRule="atLeast"/>
        <w:ind w:firstLine="510"/>
        <w:rPr>
          <w:rFonts w:ascii="Palatino Linotype" w:hAnsi="Palatino Linotype" w:cs="Simplified Arabic"/>
          <w:lang w:val="en-GB" w:bidi="ar-EG"/>
        </w:rPr>
      </w:pPr>
      <w:r w:rsidRPr="00B67805">
        <w:rPr>
          <w:rFonts w:ascii="Palatino Linotype" w:hAnsi="Palatino Linotype" w:cs="Simplified Arabic"/>
          <w:lang w:val="en-GB" w:bidi="ar-EG"/>
        </w:rPr>
        <w:t>The expansion of digital infrastructure may coexist with disparities in educational attainment, digital skills, and labour markets' capacity to absorb highly educated workers, particularly in developing economies. Consequently, broadband connectivity alone may not generate broad-based employment gains unless workers possess the skills required to use digital technologies effectively. The World Bank's assessment of Egypt's digital economy identifies universal and affordable broadband as a central component of digital infrastructure while emphasising human capital and digital skills as essential for enabling individuals and firms to benefit from digital technologies (World Bank, 2020, pp. 12–13). Human capital and digital infrastructure should therefore be considered jointly when assessing the labour-market effects of digital transformation</w:t>
      </w:r>
      <w:r w:rsidR="00A135DA">
        <w:rPr>
          <w:rFonts w:ascii="Palatino Linotype" w:hAnsi="Palatino Linotype" w:cs="Simplified Arabic"/>
          <w:lang w:val="en-GB" w:bidi="ar-EG"/>
        </w:rPr>
        <w:t>.</w:t>
      </w:r>
    </w:p>
    <w:p w14:paraId="6CE9D447" w14:textId="77777777" w:rsidR="00587784" w:rsidRPr="00B67805" w:rsidRDefault="00587784" w:rsidP="00D6346F">
      <w:pPr>
        <w:spacing w:after="60" w:line="240" w:lineRule="atLeast"/>
        <w:ind w:firstLine="510"/>
        <w:rPr>
          <w:rFonts w:ascii="Palatino Linotype" w:hAnsi="Palatino Linotype" w:cs="Simplified Arabic"/>
          <w:lang w:val="en-GB" w:bidi="ar-EG"/>
        </w:rPr>
      </w:pPr>
      <w:r w:rsidRPr="00B67805">
        <w:rPr>
          <w:rFonts w:ascii="Palatino Linotype" w:hAnsi="Palatino Linotype" w:cs="Simplified Arabic"/>
          <w:lang w:val="en-GB" w:bidi="ar-EG"/>
        </w:rPr>
        <w:t xml:space="preserve">Egypt provides an important context for examining this interaction, as digital transformation is central to its development strategy. The government's ICT Sustainable Development Strategy 2030 seeks to promote economic growth, productivity, new business models, and job creation through digital technologies, while broadband connectivity provides the foundation for expanding digital economic activity (World Bank, 2020, pp. 12–13, 34–43). Similarly, Egypt Vision 2030 integrates the transition towards a knowledge-based digital </w:t>
      </w:r>
      <w:r w:rsidRPr="00B67805">
        <w:rPr>
          <w:rFonts w:ascii="Palatino Linotype" w:hAnsi="Palatino Linotype" w:cs="Simplified Arabic"/>
          <w:lang w:val="en-GB" w:bidi="ar-EG"/>
        </w:rPr>
        <w:lastRenderedPageBreak/>
        <w:t>economy into its sustainable and inclusive development agenda, highlighting the role of information and communication technologies in supporting economic growth, improving public-sector efficiency and transparency, and strengthening human capital through education and lifelong learning (</w:t>
      </w:r>
      <w:r w:rsidRPr="00B67805">
        <w:rPr>
          <w:rFonts w:ascii="Palatino Linotype" w:hAnsi="Palatino Linotype" w:cs="Simplified Arabic"/>
        </w:rPr>
        <w:t>Ministry of Planning, Monitoring and Administrative Reform, 2016</w:t>
      </w:r>
      <w:r w:rsidRPr="00B67805">
        <w:rPr>
          <w:rFonts w:ascii="Palatino Linotype" w:hAnsi="Palatino Linotype" w:cs="Simplified Arabic"/>
          <w:lang w:val="en-GB" w:bidi="ar-EG"/>
        </w:rPr>
        <w:t>). Thus, expanding connectivity alongside the development of digital knowledge and skills—particularly among younger generations—is essential for preparing Egypt's workforce for evolving labour market demands.</w:t>
      </w:r>
    </w:p>
    <w:p w14:paraId="6181A4D9"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Meanwhile, unemployment and the expansion of productive job opportunities remain central challenges for the Egyptian labour market. The link between education and employment is particularly relevant since higher education does not automatically produce favourable labour-market outcomes. Assaad, Krafft, and Salehi-Isfahani (2018) show major differences in labour-market outcomes by type of higher education in Egypt and Jordan, and they underscore the need to align educational outcomes with labour-market requirements (Assaad et al., 2018, pp. 945–947). Accordingly, increasing tertiary education will not necessarily improve employment outcomes unless higher educational attainment is paired with relevant skills and adequate demand for appropriately qualified workers.</w:t>
      </w:r>
    </w:p>
    <w:p w14:paraId="459DF8D1"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Although Elgohary and Abdel-Aziz (2023) examine the effect of digital transformation on employment in Egypt using an ARDL model for 2003–2020, they do not test whether human capital moderates the labour-market effect of digital connectivity. This leaves an important research gap, particularly given international evidence of technology–skill complementarity and the persistent mismatch between higher education and labour-market requirements in Egypt. The present study addresses this gap by examining whether the effect of digital transformation on unemployment varies with the level of human capital.</w:t>
      </w:r>
    </w:p>
    <w:p w14:paraId="585F378D" w14:textId="77777777" w:rsidR="00587784" w:rsidRPr="00D6346F" w:rsidRDefault="00587784" w:rsidP="00D6346F">
      <w:pPr>
        <w:spacing w:after="60" w:line="240" w:lineRule="atLeast"/>
        <w:rPr>
          <w:rFonts w:ascii="Palatino Linotype" w:hAnsi="Palatino Linotype" w:cs="Simplified Arabic"/>
          <w:b/>
          <w:bCs/>
          <w:sz w:val="22"/>
          <w:szCs w:val="22"/>
          <w:rtl/>
          <w:lang w:val="en-GB" w:bidi="ar-EG"/>
        </w:rPr>
      </w:pPr>
      <w:r w:rsidRPr="00D6346F">
        <w:rPr>
          <w:rFonts w:ascii="Palatino Linotype" w:hAnsi="Palatino Linotype" w:cs="Simplified Arabic"/>
          <w:b/>
          <w:bCs/>
          <w:sz w:val="22"/>
          <w:szCs w:val="22"/>
          <w:lang w:val="en-GB" w:bidi="ar-EG"/>
        </w:rPr>
        <w:t>Based on the above, we hypothesise that</w:t>
      </w:r>
      <w:r w:rsidRPr="00D6346F">
        <w:rPr>
          <w:rFonts w:ascii="Palatino Linotype" w:hAnsi="Palatino Linotype" w:cs="Simplified Arabic"/>
          <w:b/>
          <w:bCs/>
          <w:sz w:val="22"/>
          <w:szCs w:val="22"/>
          <w:rtl/>
          <w:lang w:val="en-GB" w:bidi="ar-EG"/>
        </w:rPr>
        <w:t>:</w:t>
      </w:r>
    </w:p>
    <w:p w14:paraId="57E2FCF4" w14:textId="77777777" w:rsidR="00587784" w:rsidRPr="00B67805" w:rsidRDefault="00587784" w:rsidP="00D6346F">
      <w:pPr>
        <w:spacing w:after="60" w:line="240" w:lineRule="atLeast"/>
        <w:rPr>
          <w:rFonts w:ascii="Palatino Linotype" w:eastAsia="Times New Roman" w:hAnsi="Palatino Linotype" w:cs="Simplified Arabic"/>
        </w:rPr>
      </w:pPr>
      <w:r w:rsidRPr="00B67805">
        <w:rPr>
          <w:rFonts w:ascii="Palatino Linotype" w:eastAsia="Times New Roman" w:hAnsi="Palatino Linotype" w:cs="Simplified Arabic"/>
          <w:b/>
          <w:bCs/>
        </w:rPr>
        <w:t>H1:</w:t>
      </w:r>
      <w:r w:rsidRPr="00B67805">
        <w:rPr>
          <w:rFonts w:ascii="Palatino Linotype" w:eastAsia="Times New Roman" w:hAnsi="Palatino Linotype" w:cs="Simplified Arabic"/>
        </w:rPr>
        <w:t xml:space="preserve"> Digital transformation and Gross fixed capital formation negatively affect unemployment in Egypt.</w:t>
      </w:r>
    </w:p>
    <w:p w14:paraId="3A0F0996" w14:textId="77777777" w:rsidR="00587784" w:rsidRPr="00B67805" w:rsidRDefault="00587784" w:rsidP="00D6346F">
      <w:pPr>
        <w:spacing w:after="60" w:line="240" w:lineRule="atLeast"/>
        <w:ind w:left="360" w:hanging="360"/>
        <w:rPr>
          <w:rFonts w:ascii="Palatino Linotype" w:eastAsia="Times New Roman" w:hAnsi="Palatino Linotype" w:cs="Simplified Arabic"/>
        </w:rPr>
      </w:pPr>
      <w:r w:rsidRPr="00B67805">
        <w:rPr>
          <w:rFonts w:ascii="Palatino Linotype" w:eastAsia="Times New Roman" w:hAnsi="Palatino Linotype" w:cs="Simplified Arabic"/>
          <w:b/>
          <w:bCs/>
        </w:rPr>
        <w:t>H2:</w:t>
      </w:r>
      <w:r w:rsidRPr="00B67805">
        <w:rPr>
          <w:rFonts w:ascii="Palatino Linotype" w:eastAsia="Times New Roman" w:hAnsi="Palatino Linotype" w:cs="Simplified Arabic"/>
        </w:rPr>
        <w:t xml:space="preserve"> </w:t>
      </w:r>
      <w:r w:rsidRPr="00B67805">
        <w:rPr>
          <w:rFonts w:ascii="Palatino Linotype" w:hAnsi="Palatino Linotype" w:cs="Simplified Arabic"/>
          <w:sz w:val="18"/>
          <w:szCs w:val="18"/>
        </w:rPr>
        <w:t>Human capital strengthens the unemployment-reducing effect of digital transformation.</w:t>
      </w:r>
    </w:p>
    <w:p w14:paraId="6DEF9D60"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To examine these hypotheses, this study explores the impact of digital transformation on unemployment in Egypt, with particular emphasis on the complementary role of human capital. It employs an Autoregressive Distributed Lag (ARDL) model to estimate the short- and long-run relationships among unemployment, digital transformation (proxied by fixed broadband subscriptions), tertiary education, and gross fixed capital formation. We also incorporate an interaction term between tertiary education and the digital-transformation proxy to determine whether human capital moderates the effect of digital transformation on unemployment. This approach moves beyond estimating the direct effect of digital transformation and assesses whether higher levels of human capital strengthen its potential employment benefits.</w:t>
      </w:r>
    </w:p>
    <w:p w14:paraId="1C755C92"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lastRenderedPageBreak/>
        <w:t>The remainder of the paper is organised as follows. Section 2 presents the theoretical background and reviews the relevant empirical literature. Section 3 examines the evolution of digital transformation in Egypt. Section 4 describes the data and methodology, while Section 5 discusses the empirical findings. Section 6 concludes and outlines the main policy implications.</w:t>
      </w:r>
    </w:p>
    <w:p w14:paraId="3ACD8D36" w14:textId="77777777" w:rsidR="00587784" w:rsidRPr="00D6346F" w:rsidRDefault="00587784" w:rsidP="00D6346F">
      <w:pPr>
        <w:pStyle w:val="ListParagraph"/>
        <w:numPr>
          <w:ilvl w:val="0"/>
          <w:numId w:val="15"/>
        </w:numPr>
        <w:spacing w:before="240" w:after="60" w:line="240" w:lineRule="atLeast"/>
        <w:ind w:left="426" w:firstLineChars="0"/>
        <w:contextualSpacing/>
        <w:rPr>
          <w:rFonts w:cs="Simplified Arabic"/>
          <w:sz w:val="24"/>
          <w:szCs w:val="24"/>
          <w:lang w:val="en-GB" w:bidi="ar-EG"/>
        </w:rPr>
      </w:pPr>
      <w:r w:rsidRPr="00D6346F">
        <w:rPr>
          <w:rFonts w:cs="Simplified Arabic"/>
          <w:b/>
          <w:bCs/>
          <w:sz w:val="24"/>
          <w:szCs w:val="24"/>
          <w:lang w:val="en-GB"/>
        </w:rPr>
        <w:t>Theoretical Background and Literature Review:</w:t>
      </w:r>
    </w:p>
    <w:p w14:paraId="7AAF1E04"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Technological change influences production, productivity, employment, wages, and the organisation of work. Classical economists recognised its contribution to economic development but differed regarding its labour-market consequences. Smith emphasised how specialisation and improved machinery increase productivity and prosperity, whereas Ricardo and Marx highlighted the risks of labour displacement, wage pressure, and inequality (Nunes, 2023, pp. 17–22). Similarly, the Solow–Swan model identifies technological progress as the principal source of long-run growth in output per worker because it improves the efficiency of capital and labour. However, technology may either complement workers by increasing their productivity or substitute for them when their tasks can be automated. Moreover, because the Solow model treats technological progress as exogenous and gives limited attention to human capital and labour-market inequality, it should be complemented by theories that explicitly address skills and employment structures (Barro &amp; Sala-i-Martin, 2004, pp. 14–58).</w:t>
      </w:r>
    </w:p>
    <w:p w14:paraId="2B1F71A5"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Schumpeter's theory explains digital transformation as a process of innovation, diffusion, and creative destruction through which new technologies, products, markets, and business models replace older activities while generating new opportunities for growth and employment (Śledzik, 2013; Stecenko, 2025, p. 29). Castells (2009) similarly views information as a strategic economic resource and networks and knowledge-based activities as central features of contemporary economic and social organisation. Digital transformation can facilitate structural change from traditional production towards technology-driven, service-oriented, and knowledge-intensive activities. More broadly, evidence suggests that increasing economic complexity and knowledge intensity shifts employment away from agriculture and traditional manufacturing towards the service sector (Can &amp; Doğan, 2020). Innovation-driven entrepreneurship can reinforce this job-creation effect by enabling entrepreneurs, start-ups, firms, and research institutions to introduce new digital products, services, and industries (Botelho, Fehder, &amp; Hochberg, 2021).</w:t>
      </w:r>
    </w:p>
    <w:p w14:paraId="705799E2"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Nevertheless, the effects of digital transformation are uneven across workers and occupations. Skill-Biased Technological Change theory argues that digital technologies tend to complement educated and skilled workers while weakening the employment and wage prospects of less-skilled workers (Card &amp; DiNardo, 2002; Acemoglu, 2002, pp. 4–5, 28–29). Routine-Biased Technological Change theory adds that technology primarily substitutes for routine manual and cognitive tasks, which are concentrated in many middle-skill occupations (Haslberger, 2021). This may produce job polarisation, characterised by growing demand for high-skill, abstract occupations and some low-skill, non-routine services, alongside declining </w:t>
      </w:r>
      <w:r w:rsidRPr="00B67805">
        <w:rPr>
          <w:rFonts w:ascii="Palatino Linotype" w:hAnsi="Palatino Linotype" w:cs="Simplified Arabic"/>
          <w:lang w:val="en-GB" w:bidi="ar-EG"/>
        </w:rPr>
        <w:lastRenderedPageBreak/>
        <w:t>middle-skill, routine employment (Davis, Mengus, &amp; Michalski, 2020). Evidence from Portugal supports this pattern, showing stronger employment and wage growth in abstract high-skill tasks and declining routine manual employment (Fonseca, Lima, &amp; Pereira, 2018). Thus, digital transformation does not affect all workers equally: its employment consequences depend on workers' skills, task characteristics, human capital, economic structure, and capacity to adapt to technological change.</w:t>
      </w:r>
    </w:p>
    <w:p w14:paraId="6BB77639"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This theoretical background provides the conceptual basis for reviewing the empirical literature on how digital transformation affects employment and unemployment, particularly through technological substitution, job creation, task restructuring, and its complementarity with workers' skills and human capital.</w:t>
      </w:r>
    </w:p>
    <w:p w14:paraId="783F641C"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One group of studies focuses primarily on the displacement effects of automation and digital technologies. Rolleman (2016), using a microeconomic approach, shows that robotisation changes the allocation of tasks among low-, medium-, and high-skilled workers, with its effects on wages and employment depending on wage rigidity and the degree of substitutability between technology and labour. Similarly, Chinoracký and Čorejová (2019) find that digital technology adoption may substantially alter employment in the OECD freight-transport sector, with lower-skilled occupations particularly vulnerable. Szabó-Szentgróti et al. (2021), based on a review of 86 studies published between 2011 and 2020, conclude that Industry 4.0 technologies are likely to reduce labour requirements for production and significantly change working arrangements and hours. Wijayanti and Turgel (202</w:t>
      </w:r>
      <w:r w:rsidRPr="00B67805">
        <w:rPr>
          <w:rFonts w:ascii="Palatino Linotype" w:hAnsi="Palatino Linotype" w:cs="Simplified Arabic"/>
          <w:lang w:bidi="ar-EG"/>
        </w:rPr>
        <w:t>1</w:t>
      </w:r>
      <w:r w:rsidRPr="00B67805">
        <w:rPr>
          <w:rFonts w:ascii="Palatino Linotype" w:hAnsi="Palatino Linotype" w:cs="Simplified Arabic"/>
          <w:lang w:val="en-GB" w:bidi="ar-EG"/>
        </w:rPr>
        <w:t>) also find that digitalisation can contribute to labour displacement and affect labour productivity in Indonesia. Collectively, these studies suggest that the displacement risks of digital transformation are concentrated in occupations and tasks that are more susceptible to automation.</w:t>
      </w:r>
    </w:p>
    <w:p w14:paraId="32F08CAB"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A second strand examines whether job creation and structural change can offset technological displacement. Walwei (2016) argues that widespread employment losses arising from digitalisation are unlikely in Germany, although substantial changes in the structure of employment should be expected. Vermeulen et al. (2018) similarly conclude, based on several macro-level scenarios, that automation is more likely to restructure labour markets than to cause an overall decline in employment, because job losses in some sectors may be offset by employment creation in new and complementary activities. They consequently emphasise the importance of reducing frictional technological unemployment, upgrading displaced workers' skills, supporting enterprise creation, and facilitating transitions into emerging sectors. Bertani et al. (2020) identify a negative relationship between digital transformation and unemployment in European countries and the United States following the 2008 financial crisis. However, they caution that rapid growth in intangible digital investment could generate technological unemployment over the longer term. These findings indicate that the net employment effect of </w:t>
      </w:r>
      <w:r w:rsidRPr="00B67805">
        <w:rPr>
          <w:rFonts w:ascii="Palatino Linotype" w:hAnsi="Palatino Linotype" w:cs="Simplified Arabic"/>
          <w:lang w:val="en-GB" w:bidi="ar-EG"/>
        </w:rPr>
        <w:lastRenderedPageBreak/>
        <w:t>digital transformation depends on whether economies can create new activities and facilitate workers' movement from declining to expanding sectors.</w:t>
      </w:r>
    </w:p>
    <w:p w14:paraId="515157C2"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Another group of studies concentrates on the employment-enhancing effects of digitalisation and connectivity. Rudskaya and Konnikov (2020), examining the Russian Federation during 2010–2016, finds that a higher proportion of firms with internet access is associated with lower unemployment, whereas higher ICT prices are associated with higher unemployment. Using feasible generalised least squares for 25 developing countries, Aly (2020) reports a positive relationship between digital transformation and employment, economic development, and labour productivity. These findings suggest that digitalisation may improve labour-market outcomes by facilitating business activity, increasing productivity, and widening access to digital technologies. Its effects also extend beyond aggregate employment: using data for 93 middle-income countries over 1995–2018, An (2021) finds a significant relationship between internet use and female labour-force participation. It reports that higher broadband penetration is associated with a narrower gender wage gap. Digital transformation may therefore influence not only employment levels but also participation and distributional outcomes across demographic groups.</w:t>
      </w:r>
    </w:p>
    <w:p w14:paraId="38A08CF0"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The literature focusing on skills explains these varied outcomes. Dachs (2018) argues that the costs and benefits of digitalisation are distributed unevenly because technological progress tends to be skill-biased. Innovation may generate employment through new products and activities, while process innovation can eliminate existing jobs and increase inequalities between workers with different skills. Consequently, the labour-market effects of digital transformation depend not only on technology adoption but also on workers' capacity to acquire and apply the skills required by new technologies. This helps reconcile the mixed empirical findings: digitalisation may improve aggregate employment while simultaneously disadvantaging workers whose skills or tasks are readily substitutable by technology.</w:t>
      </w:r>
    </w:p>
    <w:p w14:paraId="024B9667"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The COVID-19 pandemic accelerated digital transformation through remote work, digital platforms, and longer-term digital strategies, producing lasting changes in workplace organisation (Nagel, 2020; Amankwah-Amoah et al., 2021). Evidence from MENA countries similarly shows that financially disrupted or government-supported firms were more likely to adopt digital strategies, particularly in services (Aly &amp; Aubert-Tarby, 2023). Digital capacity also strengthened labour-market resilience: remote working helped some Southern European firms limit employment losses, while workers in digital occupations were relatively more protected during the crisis (Webster et al., 2021; Jaumotte et al., 2023).</w:t>
      </w:r>
    </w:p>
    <w:p w14:paraId="28D59E46"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However, accelerated digitalisation also increased automation risks and inequalities. Employees in Egyptian mobile operators faced greater exposure to displacement as firms increasingly adopted digital platforms and remote working (Elsafty &amp; Elzeftawy, 2021). Although digital inclusion was positively associated with employment growth, its benefits were distributed unevenly across countries and workers (Olanrewaju et al., 2024). </w:t>
      </w:r>
      <w:r w:rsidRPr="00B67805">
        <w:rPr>
          <w:rFonts w:ascii="Palatino Linotype" w:hAnsi="Palatino Linotype" w:cs="Simplified Arabic"/>
          <w:lang w:val="en-GB" w:bidi="ar-EG"/>
        </w:rPr>
        <w:lastRenderedPageBreak/>
        <w:t>Digitalisation therefore created new employment opportunities while disadvantaging workers with limited digital skills or inadequate access to technology (International Labour Organization</w:t>
      </w:r>
      <w:r w:rsidRPr="00B67805">
        <w:rPr>
          <w:rFonts w:ascii="Palatino Linotype" w:hAnsi="Palatino Linotype" w:cs="Simplified Arabic"/>
          <w:sz w:val="18"/>
          <w:szCs w:val="18"/>
        </w:rPr>
        <w:t xml:space="preserve"> (</w:t>
      </w:r>
      <w:r w:rsidRPr="00B67805">
        <w:rPr>
          <w:rFonts w:ascii="Palatino Linotype" w:hAnsi="Palatino Linotype" w:cs="Simplified Arabic"/>
          <w:lang w:val="en-GB" w:bidi="ar-EG"/>
        </w:rPr>
        <w:t>ILO), 2023).</w:t>
      </w:r>
    </w:p>
    <w:p w14:paraId="2625A765"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Evidence on workplace training further highlights the importance of human capital. Using German firm-level survey data linked to employees’ administrative records, Müller (2024) finds that the COVID-19 pandemic reduced employer-sponsored training by up to 11 percentage points. Firms capable of using e-learning largely avoided this decline, although differences in firms’ ability to provide digital learning may have exacerbated existing inequalities in training opportunities. This evidence suggests that digital infrastructure alone does not guarantee inclusive labour-market gains; firms and workers must also possess the capabilities needed to use digital technologies effectively.</w:t>
      </w:r>
    </w:p>
    <w:p w14:paraId="0D938E82"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A further strand of the literature examines the role of human capital in shaping the labour-market effects of digital transformation. Aly (2020) argues that the effects of digitalisation on employment and productivity depend partly on labour-market conditions and the quality of human and physical capital. This argument is consistent with Becker's (1964) human capital theory, which holds that education improves workers' skills, productivity, adaptability, and employability. Human capital is particularly important in the digital economy because the benefits of digital infrastructure depend on workers' capacity to adopt and use new technologies productively. Sarabdeen and Alofaysan (2023) accordingly use tertiary education enrolment as an indicator of human-capital capability and the capacity to absorb digital transformation when examining the relationship between digitalisation, labour productivity, and unemployment. Akerman et al. (2015) provide further evidence of this complementarity, finding that broadband adoption improves the productivity and labour-market outcomes of skilled workers while generating less favourable outcomes for less-skilled workers. These studies suggest that higher tertiary enrolment may strengthen the employment benefits of digital connectivity by improving workers' ability to exploit digital opportunities and adapt to technological change.</w:t>
      </w:r>
    </w:p>
    <w:p w14:paraId="70CEC945"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Another group of studies focuses on physical-capital accumulation as a determinant of unemployment. Conventional growth and development theory suggests that investment in productive capital can expand productive capacity, stimulate output, and increase labour demand (Todaro &amp; Smith, 2006). Empirical evidence generally supports this expectation. Oseni and Oyelade (2023) find that gross capital formation has a negative and statistically significant effect on unemployment in Nigeria. Pasara and Garidzirai (2020), Bayar (2016), and Almula-Dhanoon et al. (2020) similarly report that capital formation or domestic investment contributes to lower unemployment across different developing, emerging-market, and MENA contexts. This evidence indicates that the labour-market consequences of digital transformation should be examined alongside productive investment, since digital connectivity may generate stronger </w:t>
      </w:r>
      <w:r w:rsidRPr="00B67805">
        <w:rPr>
          <w:rFonts w:ascii="Palatino Linotype" w:hAnsi="Palatino Linotype" w:cs="Simplified Arabic"/>
          <w:lang w:val="en-GB" w:bidi="ar-EG"/>
        </w:rPr>
        <w:lastRenderedPageBreak/>
        <w:t>employment effects when accompanied by the physical capital needed to expand economic activity.</w:t>
      </w:r>
    </w:p>
    <w:p w14:paraId="480C572C"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Methodologically, previous studies have employed different ICT indicators and econometric approaches to examine digital transformation. Duasa and Ramadan (2019) use ICT-related indicators to measure digital development, whereas Sarabdeen and Alofaysan (2023) employ fixed broadband subscriptions as an indicator of digital expansion and apply an ARDL error-correction framework to estimate its short- and long-run labour-market effects. Their approach demonstrates the relevance of fixed broadband as a measurable dimension of digital connectivity and the suitability of ARDL analysis for distinguishing between short-run adjustment and long-run relationships.</w:t>
      </w:r>
    </w:p>
    <w:p w14:paraId="1C791D9C"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Studies addressing Egypt have mainly examined the development of digitalisation rather than its direct unemployment effects. Kamel (2021) documents Egypt's progress in ICT development and considers the potential social implications of digital transformation, while Elgohary (2022) highlights both the contribution of digital transformation to sustainable development and the continuing challenges related to ICT infrastructure and investment. Although these studies provide valuable evidence on the evolution of Egypt's digital economy, they do not establish short- or long-run relationships between digital connectivity and unemployment, nor do they examine whether these relationships vary with human capital.</w:t>
      </w:r>
    </w:p>
    <w:p w14:paraId="6D71AF5A"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Overall, previous findings remain mixed: some studies identify employment-enhancing effects (Walwei, 2016; Vermeulen et al., 2018; Rudskaya and Konnikov, 2020; Aly, 2020), while others emphasise technological substitution and displacement risks (Rolleman, 2016; Chinoracký &amp; Čorejová, 2019; Wijayanti &amp; Turgel, 2021; Végvári &amp; Varga, 2021). Nevertheless, a common conclusion is that skills and human capital influence the magnitude and distribution of these effects. In Egypt, limited empirical attention has been devoted to whether human capital strengthens the labour-market benefits of digital connectivity. In particular, previous studies have not explicitly incorporated an education–broadband interaction to examine whether the effect of broadband penetration on unemployment varies by tertiary education. The present study addresses this gap by applying an Autoregressive Distributed Lag framework to examine the short- and long-run relationships among fixed broadband subscriptions, unemployment, tertiary enrolment, and gross fixed capital formation and by incorporating an education–broadband interaction term to test the complementary role of human capital.</w:t>
      </w:r>
    </w:p>
    <w:p w14:paraId="3D610D0D" w14:textId="77777777" w:rsidR="00587784" w:rsidRPr="00D6346F" w:rsidRDefault="00587784" w:rsidP="00D6346F">
      <w:pPr>
        <w:pStyle w:val="ListParagraph"/>
        <w:numPr>
          <w:ilvl w:val="0"/>
          <w:numId w:val="15"/>
        </w:numPr>
        <w:spacing w:before="240" w:after="60" w:line="240" w:lineRule="atLeast"/>
        <w:ind w:left="426" w:firstLineChars="0"/>
        <w:contextualSpacing/>
        <w:rPr>
          <w:rFonts w:cs="Simplified Arabic"/>
          <w:b/>
          <w:bCs/>
          <w:sz w:val="24"/>
          <w:szCs w:val="24"/>
          <w:lang w:val="en-GB"/>
        </w:rPr>
      </w:pPr>
      <w:r w:rsidRPr="00D6346F">
        <w:rPr>
          <w:rFonts w:cs="Simplified Arabic"/>
          <w:b/>
          <w:bCs/>
          <w:sz w:val="24"/>
          <w:szCs w:val="24"/>
          <w:lang w:val="en-GB"/>
        </w:rPr>
        <w:t>Evolution of Digital Transformation in Egypt</w:t>
      </w:r>
    </w:p>
    <w:p w14:paraId="4F3E8137" w14:textId="77777777" w:rsidR="00587784" w:rsidRPr="00B67805" w:rsidRDefault="00587784" w:rsidP="00D6346F">
      <w:pPr>
        <w:spacing w:after="60" w:line="240" w:lineRule="atLeast"/>
        <w:ind w:firstLine="510"/>
        <w:rPr>
          <w:rFonts w:ascii="Palatino Linotype" w:hAnsi="Palatino Linotype" w:cs="Simplified Arabic"/>
          <w:lang w:val="en-GB" w:bidi="ar-EG"/>
        </w:rPr>
      </w:pPr>
      <w:r w:rsidRPr="00B67805">
        <w:rPr>
          <w:rFonts w:ascii="Palatino Linotype" w:hAnsi="Palatino Linotype" w:cs="Simplified Arabic"/>
          <w:lang w:val="en-GB" w:bidi="ar-EG"/>
        </w:rPr>
        <w:t xml:space="preserve">Until the late twentieth century, Egypt was considered data-rich but information-poor, as government initiatives focused primarily on technical issues rather than using information to support decision-making and socioeconomic development. Limited coordination across sectors and the weak integration of information policies with development strategies further </w:t>
      </w:r>
      <w:r w:rsidRPr="00B67805">
        <w:rPr>
          <w:rFonts w:ascii="Palatino Linotype" w:hAnsi="Palatino Linotype" w:cs="Simplified Arabic"/>
          <w:lang w:val="en-GB" w:bidi="ar-EG"/>
        </w:rPr>
        <w:lastRenderedPageBreak/>
        <w:t>highlighted the need to establish an effective information and communication technology (ICT) infrastructure.</w:t>
      </w:r>
    </w:p>
    <w:p w14:paraId="2BEFFE7D"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Egypt began investing substantially in its ICT infrastructure and infostructure in the mid-1980s as part of a nationwide strategy to address economic and social challenges. A major institutional step was taken in 1985 with the establishment of the Information and Decision Support Center (IDSC), which was responsible for developing and implementing national informatics projects to support policymaking and socioeconomic development. Between 1985 and 1995, cooperation between the government and the private sector contributed to the establishment of numerous information centres and informatics projects across public organisations (Kamel, 2021, p. 11).</w:t>
      </w:r>
    </w:p>
    <w:p w14:paraId="3102BD47"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The importance of ICT increased further in the 1990s. The Egypt Information Highway was introduced in 1994, followed in 1999 by the establishment of the Ministry of Communications and Information Technology (MCIT). The Ministry sought to develop Egypt's digital economy, enhance its competitiveness and inclusiveness, and use ICT as a driver of economic growth. These developments marked the gradual transition of the ICT sector from one dependent on government support and subsidies to a sector making tangible and intangible contributions to the economy (Kamel, 2021, p. 11).</w:t>
      </w:r>
    </w:p>
    <w:p w14:paraId="51242BA7"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During the 2000s, Egypt expanded the role of ICT through the National ICT Master Plan (2000), the Egypt Information Society Initiative (2003), the extension of ICT to public services, and the establishment of ITIDA in 2004. These were followed by successive ICT strategies and the 2014 Cloud Strategy. Public–private and civil-society collaboration supported this development through technical assistance, training, market research, and financial incentives (Kamel, 2021, p. 13).</w:t>
      </w:r>
    </w:p>
    <w:p w14:paraId="73AB7DDB"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In 2017, MCIT launched Digital Egypt: The 2030 ICT Strategy to promote sector growth, socioeconomic development, MSMEs, and human-capital capacity. Egypt consequently improved its position in the UN Global Knowledge Index from 82nd in 2019 to 72nd in 2020. The establishment of the National Council for Artificial Intelligence in 2019 further strengthened cooperation among government, academia, and the private sector (Kamel, 2021, p. 12). </w:t>
      </w:r>
    </w:p>
    <w:p w14:paraId="150832BF"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 xml:space="preserve">Investment in telecommunications infrastructure increased substantially, raising average internet speed from 6.5 Mbps in January 2019 to 39.6 Mbps in April 2021. Network upgrades, additional mobile frequencies, and the Decent Life (Haya Karima) initiative also expanded connectivity in underserved and rural areas (ITA, 2022). These improvements strengthened the economic contribution of the ICT sector. ICT revenues and growth increased markedly, while the sector's contribution to GDP rose from 3.5% in FY2017/2018 to 5% in FY2020/2021. In the latter year, the sector grew by 16.1%, and total investment reached approximately USD 3 billion (Kamel, 2021, p. 13; ITA, 2022). Despite this progress, Egypt remained at an early stage of ICT infrastructure development, receiving a score of 52.6 out of </w:t>
      </w:r>
      <w:r w:rsidRPr="00B67805">
        <w:rPr>
          <w:rFonts w:ascii="Palatino Linotype" w:hAnsi="Palatino Linotype" w:cs="Simplified Arabic"/>
          <w:lang w:val="en-GB" w:bidi="ar-EG"/>
        </w:rPr>
        <w:lastRenderedPageBreak/>
        <w:t>100, with limited targeted investment aligned with the Sustainable Development Goals. In 2019, Egypt had approximately 49.2 million internet users, representing about 48% of the population, while fixed and mobile internet speeds remained below global averages. Nevertheless, the continued expansion of infrastructure, digital services, human capital initiatives, and institutional capacity indicates that Egypt's digital transformation has evolved from basic information system development into a broader strategy for economic growth, public service modernisation, innovation, and digital inclusion (Elgohary, 2022, p. 398).</w:t>
      </w:r>
    </w:p>
    <w:p w14:paraId="768F8A59" w14:textId="225CB20C" w:rsidR="00587784" w:rsidRPr="00D6346F" w:rsidRDefault="00587784" w:rsidP="00D6346F">
      <w:pPr>
        <w:numPr>
          <w:ilvl w:val="0"/>
          <w:numId w:val="15"/>
        </w:numPr>
        <w:spacing w:before="240" w:after="60" w:line="240" w:lineRule="atLeast"/>
        <w:ind w:left="426"/>
        <w:rPr>
          <w:rFonts w:ascii="Palatino Linotype" w:hAnsi="Palatino Linotype" w:cs="Simplified Arabic"/>
          <w:sz w:val="24"/>
          <w:szCs w:val="24"/>
          <w:lang w:val="en-GB" w:bidi="ar-EG"/>
        </w:rPr>
      </w:pPr>
      <w:r w:rsidRPr="00D6346F">
        <w:rPr>
          <w:rFonts w:ascii="Palatino Linotype" w:hAnsi="Palatino Linotype" w:cs="Simplified Arabic"/>
          <w:b/>
          <w:bCs/>
          <w:sz w:val="24"/>
          <w:szCs w:val="24"/>
          <w:lang w:val="en-GB" w:bidi="ar-EG"/>
        </w:rPr>
        <w:t>Data and methodology</w:t>
      </w:r>
      <w:r w:rsidRPr="00D6346F">
        <w:rPr>
          <w:rFonts w:ascii="Palatino Linotype" w:hAnsi="Palatino Linotype" w:cs="Simplified Arabic"/>
          <w:sz w:val="24"/>
          <w:szCs w:val="24"/>
          <w:lang w:val="en-GB" w:bidi="ar-EG"/>
        </w:rPr>
        <w:t xml:space="preserve">  </w:t>
      </w:r>
    </w:p>
    <w:p w14:paraId="7BBB64AD" w14:textId="77777777" w:rsidR="00587784" w:rsidRPr="00B67805" w:rsidRDefault="00587784" w:rsidP="00D6346F">
      <w:pPr>
        <w:spacing w:after="60" w:line="240" w:lineRule="atLeast"/>
        <w:ind w:firstLine="720"/>
        <w:rPr>
          <w:rFonts w:ascii="Palatino Linotype" w:hAnsi="Palatino Linotype" w:cs="Simplified Arabic"/>
          <w:lang w:val="en-GB" w:bidi="ar-EG"/>
        </w:rPr>
      </w:pPr>
      <w:r w:rsidRPr="00B67805">
        <w:rPr>
          <w:rFonts w:ascii="Palatino Linotype" w:hAnsi="Palatino Linotype" w:cs="Simplified Arabic"/>
          <w:lang w:val="en-GB" w:bidi="ar-EG"/>
        </w:rPr>
        <w:t>This section presents the empirical framework used to examine the effect of digital transformation on unemployment in Egypt during 2002–2024. Digital transformation is proxied by fixed broadband subscriptions, while the model includes tertiary enrolment, gross fixed capital formation, an education–broadband interaction term, and a 2011 pulse dummy.</w:t>
      </w:r>
    </w:p>
    <w:p w14:paraId="5F1233DC" w14:textId="77777777" w:rsidR="00587784" w:rsidRPr="00D6346F" w:rsidRDefault="00587784" w:rsidP="00D6346F">
      <w:pPr>
        <w:spacing w:after="60" w:line="240" w:lineRule="atLeast"/>
        <w:rPr>
          <w:rFonts w:ascii="Palatino Linotype" w:hAnsi="Palatino Linotype" w:cs="Simplified Arabic"/>
          <w:b/>
          <w:bCs/>
          <w:sz w:val="22"/>
          <w:szCs w:val="22"/>
          <w:lang w:val="en-GB" w:bidi="ar-EG"/>
        </w:rPr>
      </w:pPr>
      <w:r w:rsidRPr="00D6346F">
        <w:rPr>
          <w:rFonts w:ascii="Palatino Linotype" w:hAnsi="Palatino Linotype" w:cs="Simplified Arabic"/>
          <w:b/>
          <w:bCs/>
          <w:sz w:val="22"/>
          <w:szCs w:val="22"/>
          <w:lang w:val="en-GB" w:bidi="ar-EG"/>
        </w:rPr>
        <w:t>4.1 Data Description, Measurement, and Sources</w:t>
      </w:r>
    </w:p>
    <w:p w14:paraId="585C783B" w14:textId="224C07F5"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lang w:val="en-GB"/>
        </w:rPr>
        <w:t xml:space="preserve">The empirical analysis uses annual time-series data for Egypt covering the period </w:t>
      </w:r>
      <w:r w:rsidRPr="00B67805">
        <w:rPr>
          <w:rFonts w:ascii="Palatino Linotype" w:hAnsi="Palatino Linotype" w:cs="Simplified Arabic"/>
          <w:b/>
          <w:bCs/>
          <w:lang w:val="en-GB"/>
        </w:rPr>
        <w:t>2002–2024</w:t>
      </w:r>
      <w:r w:rsidRPr="00B67805">
        <w:rPr>
          <w:rFonts w:ascii="Palatino Linotype" w:hAnsi="Palatino Linotype" w:cs="Simplified Arabic"/>
          <w:lang w:val="en-GB"/>
        </w:rPr>
        <w:t xml:space="preserve">. Table </w:t>
      </w:r>
      <w:r w:rsidR="00E15A27">
        <w:rPr>
          <w:rFonts w:ascii="Palatino Linotype" w:hAnsi="Palatino Linotype" w:cs="Simplified Arabic"/>
          <w:b/>
          <w:bCs/>
          <w:lang w:val="en-GB"/>
        </w:rPr>
        <w:t>1</w:t>
      </w:r>
      <w:r w:rsidRPr="00B67805">
        <w:rPr>
          <w:rFonts w:ascii="Palatino Linotype" w:hAnsi="Palatino Linotype" w:cs="Simplified Arabic"/>
          <w:b/>
          <w:bCs/>
          <w:lang w:val="en-GB"/>
        </w:rPr>
        <w:t xml:space="preserve"> </w:t>
      </w:r>
      <w:r w:rsidRPr="00B67805">
        <w:rPr>
          <w:rFonts w:ascii="Palatino Linotype" w:hAnsi="Palatino Linotype" w:cs="Simplified Arabic"/>
          <w:lang w:val="en-GB"/>
        </w:rPr>
        <w:t xml:space="preserve">presents the definitions, measurement units, and data sources for all variables employed in the empirical analysis. </w:t>
      </w:r>
      <w:r w:rsidRPr="00B67805">
        <w:rPr>
          <w:rFonts w:ascii="Palatino Linotype" w:hAnsi="Palatino Linotype" w:cs="Simplified Arabic"/>
          <w:lang w:val="en-GB" w:bidi="ar-EG"/>
        </w:rPr>
        <w:t xml:space="preserve">The study uses the </w:t>
      </w:r>
      <w:r w:rsidRPr="00B67805">
        <w:rPr>
          <w:rFonts w:ascii="Palatino Linotype" w:hAnsi="Palatino Linotype" w:cs="Simplified Arabic"/>
          <w:b/>
          <w:bCs/>
          <w:lang w:val="en-GB" w:bidi="ar-EG"/>
        </w:rPr>
        <w:t>unemployment rate</w:t>
      </w:r>
      <w:r w:rsidRPr="00B67805">
        <w:rPr>
          <w:rFonts w:ascii="Palatino Linotype" w:hAnsi="Palatino Linotype" w:cs="Simplified Arabic"/>
          <w:lang w:val="en-GB" w:bidi="ar-EG"/>
        </w:rPr>
        <w:t xml:space="preserve"> (UNEMP) as the dependent variable to capture labour-market performance in Egypt. Digital transformation is proxied by </w:t>
      </w:r>
      <w:bookmarkStart w:id="0" w:name="_Hlk237379468"/>
      <w:r w:rsidRPr="00B67805">
        <w:rPr>
          <w:rFonts w:ascii="Palatino Linotype" w:hAnsi="Palatino Linotype" w:cs="Simplified Arabic"/>
          <w:b/>
          <w:bCs/>
          <w:lang w:val="en-GB" w:bidi="ar-EG"/>
        </w:rPr>
        <w:t>fixed broadband subscriptions per 100 people</w:t>
      </w:r>
      <w:bookmarkEnd w:id="0"/>
      <w:r w:rsidRPr="00B67805">
        <w:rPr>
          <w:rFonts w:ascii="Palatino Linotype" w:hAnsi="Palatino Linotype" w:cs="Simplified Arabic"/>
          <w:b/>
          <w:bCs/>
          <w:lang w:val="en-GB" w:bidi="ar-EG"/>
        </w:rPr>
        <w:t xml:space="preserve"> (BBND)</w:t>
      </w:r>
      <w:r w:rsidRPr="00B67805">
        <w:rPr>
          <w:rFonts w:ascii="Palatino Linotype" w:hAnsi="Palatino Linotype" w:cs="Simplified Arabic"/>
          <w:lang w:val="en-GB" w:bidi="ar-EG"/>
        </w:rPr>
        <w:t>. This indicator is widely used in empirical studies because it reflects the expansion of digital connectivity and access to communication infrastructure (</w:t>
      </w:r>
      <w:bookmarkStart w:id="1" w:name="_Hlk237633826"/>
      <w:r w:rsidRPr="00B67805">
        <w:rPr>
          <w:rFonts w:ascii="Palatino Linotype" w:hAnsi="Palatino Linotype" w:cs="Simplified Arabic"/>
          <w:lang w:val="en-GB" w:bidi="ar-EG"/>
        </w:rPr>
        <w:t xml:space="preserve">Duasa and Ramadan (2019; Sarabdeen and Alofaysan, 2023). </w:t>
      </w:r>
      <w:r w:rsidRPr="00B67805">
        <w:rPr>
          <w:rFonts w:ascii="Palatino Linotype" w:eastAsia="Times New Roman" w:hAnsi="Palatino Linotype" w:cs="Simplified Arabic"/>
          <w:lang w:val="en-GB"/>
        </w:rPr>
        <w:t>The model further includes tertiary school enrolment (EDU) as a proxy for human capital, gross fixed capital formation (GFCF) as an indicator of investment and physical-capital accumulation, and a centred education-broadband interaction term (EDUBBNDC) to test whether tertiary education moderates the labour-market effect of digital transformation. A pulse dummy for 2011 (DUM2011), equal to one in 2011 and zero otherwise, is included as a fixed exogenous regressor to control for the exceptional temporary disturbance affecting economic activity and labour-market conditions in that year.</w:t>
      </w:r>
      <w:r w:rsidRPr="00B67805">
        <w:rPr>
          <w:rFonts w:ascii="Palatino Linotype" w:hAnsi="Palatino Linotype" w:cs="Simplified Arabic"/>
          <w:lang w:val="en-GB" w:bidi="ar-EG"/>
        </w:rPr>
        <w:t xml:space="preserve"> </w:t>
      </w:r>
    </w:p>
    <w:bookmarkEnd w:id="1"/>
    <w:p w14:paraId="6E7D4C31" w14:textId="7893C265" w:rsidR="00587784" w:rsidRPr="00B67805" w:rsidRDefault="00587784" w:rsidP="00D6346F">
      <w:pPr>
        <w:spacing w:after="60" w:line="240" w:lineRule="atLeast"/>
        <w:jc w:val="center"/>
        <w:rPr>
          <w:rFonts w:ascii="Palatino Linotype" w:hAnsi="Palatino Linotype" w:cs="Simplified Arabic"/>
          <w:b/>
          <w:bCs/>
          <w:sz w:val="18"/>
          <w:szCs w:val="18"/>
          <w:lang w:val="en-GB"/>
        </w:rPr>
      </w:pPr>
      <w:r w:rsidRPr="00B67805">
        <w:rPr>
          <w:rFonts w:ascii="Palatino Linotype" w:hAnsi="Palatino Linotype" w:cs="Simplified Arabic"/>
          <w:b/>
          <w:bCs/>
          <w:lang w:val="en-GB"/>
        </w:rPr>
        <w:t xml:space="preserve">Table </w:t>
      </w:r>
      <w:r w:rsidR="00E15A27">
        <w:rPr>
          <w:rFonts w:ascii="Palatino Linotype" w:hAnsi="Palatino Linotype" w:cs="Simplified Arabic"/>
          <w:b/>
          <w:bCs/>
          <w:lang w:val="en-GB"/>
        </w:rPr>
        <w:t>1</w:t>
      </w:r>
      <w:r w:rsidRPr="00B67805">
        <w:rPr>
          <w:rFonts w:ascii="Palatino Linotype" w:hAnsi="Palatino Linotype" w:cs="Simplified Arabic"/>
          <w:b/>
          <w:bCs/>
          <w:lang w:val="en-GB"/>
        </w:rPr>
        <w:t>: Variable Definitions, Measurement, and Data Sources</w:t>
      </w:r>
    </w:p>
    <w:tbl>
      <w:tblPr>
        <w:tblStyle w:val="TableGrid"/>
        <w:tblW w:w="9630" w:type="dxa"/>
        <w:tblInd w:w="-2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42"/>
        <w:gridCol w:w="2221"/>
        <w:gridCol w:w="4641"/>
        <w:gridCol w:w="1526"/>
      </w:tblGrid>
      <w:tr w:rsidR="00587784" w:rsidRPr="00D6346F" w14:paraId="479CB45D" w14:textId="77777777" w:rsidTr="00D6346F">
        <w:trPr>
          <w:tblHeader/>
        </w:trPr>
        <w:tc>
          <w:tcPr>
            <w:tcW w:w="1121" w:type="dxa"/>
            <w:shd w:val="clear" w:color="auto" w:fill="F2F2F2" w:themeFill="background1" w:themeFillShade="F2"/>
          </w:tcPr>
          <w:p w14:paraId="57E0EF0F" w14:textId="77777777" w:rsidR="00587784" w:rsidRPr="00D6346F" w:rsidRDefault="00587784" w:rsidP="00D6346F">
            <w:pPr>
              <w:spacing w:after="60" w:line="240" w:lineRule="atLeast"/>
              <w:jc w:val="center"/>
              <w:rPr>
                <w:rFonts w:ascii="Palatino Linotype" w:eastAsia="Times New Roman" w:hAnsi="Palatino Linotype" w:cs="Simplified Arabic"/>
                <w:b/>
                <w:bCs/>
                <w:sz w:val="18"/>
                <w:szCs w:val="18"/>
                <w:lang w:val="en-GB"/>
              </w:rPr>
            </w:pPr>
            <w:r w:rsidRPr="00D6346F">
              <w:rPr>
                <w:rFonts w:ascii="Palatino Linotype" w:eastAsia="Times New Roman" w:hAnsi="Palatino Linotype" w:cs="Simplified Arabic"/>
                <w:b/>
                <w:bCs/>
                <w:sz w:val="18"/>
                <w:szCs w:val="18"/>
                <w:lang w:val="en-GB"/>
              </w:rPr>
              <w:t>Symbol</w:t>
            </w:r>
          </w:p>
        </w:tc>
        <w:tc>
          <w:tcPr>
            <w:tcW w:w="2242" w:type="dxa"/>
            <w:shd w:val="clear" w:color="auto" w:fill="F2F2F2" w:themeFill="background1" w:themeFillShade="F2"/>
          </w:tcPr>
          <w:p w14:paraId="6B3FE4A5" w14:textId="77777777" w:rsidR="00587784" w:rsidRPr="00D6346F" w:rsidRDefault="00587784" w:rsidP="00D6346F">
            <w:pPr>
              <w:spacing w:after="60" w:line="240" w:lineRule="atLeast"/>
              <w:jc w:val="center"/>
              <w:rPr>
                <w:rFonts w:ascii="Palatino Linotype" w:eastAsia="Times New Roman" w:hAnsi="Palatino Linotype" w:cs="Simplified Arabic"/>
                <w:b/>
                <w:bCs/>
                <w:sz w:val="18"/>
                <w:szCs w:val="18"/>
                <w:lang w:val="en-GB"/>
              </w:rPr>
            </w:pPr>
            <w:r w:rsidRPr="00D6346F">
              <w:rPr>
                <w:rFonts w:ascii="Palatino Linotype" w:eastAsia="Times New Roman" w:hAnsi="Palatino Linotype" w:cs="Simplified Arabic"/>
                <w:b/>
                <w:bCs/>
                <w:sz w:val="18"/>
                <w:szCs w:val="18"/>
                <w:lang w:val="en-GB"/>
              </w:rPr>
              <w:t>Variable</w:t>
            </w:r>
          </w:p>
        </w:tc>
        <w:tc>
          <w:tcPr>
            <w:tcW w:w="4737" w:type="dxa"/>
            <w:shd w:val="clear" w:color="auto" w:fill="F2F2F2" w:themeFill="background1" w:themeFillShade="F2"/>
          </w:tcPr>
          <w:p w14:paraId="0D3371C0" w14:textId="77777777" w:rsidR="00587784" w:rsidRPr="00D6346F" w:rsidRDefault="00587784" w:rsidP="00D6346F">
            <w:pPr>
              <w:spacing w:after="60" w:line="240" w:lineRule="atLeast"/>
              <w:jc w:val="center"/>
              <w:rPr>
                <w:rFonts w:ascii="Palatino Linotype" w:eastAsia="Times New Roman" w:hAnsi="Palatino Linotype" w:cs="Simplified Arabic"/>
                <w:b/>
                <w:bCs/>
                <w:sz w:val="18"/>
                <w:szCs w:val="18"/>
                <w:lang w:val="en-GB"/>
              </w:rPr>
            </w:pPr>
            <w:r w:rsidRPr="00D6346F">
              <w:rPr>
                <w:rFonts w:ascii="Palatino Linotype" w:eastAsia="Times New Roman" w:hAnsi="Palatino Linotype" w:cs="Simplified Arabic"/>
                <w:b/>
                <w:bCs/>
                <w:sz w:val="18"/>
                <w:szCs w:val="18"/>
                <w:lang w:val="en-GB"/>
              </w:rPr>
              <w:t>Measurement</w:t>
            </w:r>
          </w:p>
        </w:tc>
        <w:tc>
          <w:tcPr>
            <w:tcW w:w="1530" w:type="dxa"/>
            <w:shd w:val="clear" w:color="auto" w:fill="F2F2F2" w:themeFill="background1" w:themeFillShade="F2"/>
          </w:tcPr>
          <w:p w14:paraId="099F8422" w14:textId="77777777" w:rsidR="00587784" w:rsidRPr="00D6346F" w:rsidRDefault="00587784" w:rsidP="00D6346F">
            <w:pPr>
              <w:spacing w:after="60" w:line="240" w:lineRule="atLeast"/>
              <w:jc w:val="center"/>
              <w:rPr>
                <w:rFonts w:ascii="Palatino Linotype" w:eastAsia="Times New Roman" w:hAnsi="Palatino Linotype" w:cs="Simplified Arabic"/>
                <w:b/>
                <w:bCs/>
                <w:sz w:val="18"/>
                <w:szCs w:val="18"/>
                <w:lang w:val="en-GB"/>
              </w:rPr>
            </w:pPr>
            <w:r w:rsidRPr="00D6346F">
              <w:rPr>
                <w:rFonts w:ascii="Palatino Linotype" w:eastAsia="Times New Roman" w:hAnsi="Palatino Linotype" w:cs="Simplified Arabic"/>
                <w:b/>
                <w:bCs/>
                <w:sz w:val="18"/>
                <w:szCs w:val="18"/>
                <w:lang w:val="en-GB"/>
              </w:rPr>
              <w:t>Source</w:t>
            </w:r>
          </w:p>
        </w:tc>
      </w:tr>
      <w:tr w:rsidR="00587784" w:rsidRPr="00D6346F" w14:paraId="37533F96" w14:textId="77777777" w:rsidTr="00D6346F">
        <w:tc>
          <w:tcPr>
            <w:tcW w:w="1121" w:type="dxa"/>
          </w:tcPr>
          <w:p w14:paraId="61C02D79"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rtl/>
                <w:lang w:val="en-GB" w:bidi="ar-EG"/>
              </w:rPr>
            </w:pPr>
            <w:r w:rsidRPr="00D6346F">
              <w:rPr>
                <w:rFonts w:ascii="Palatino Linotype" w:eastAsia="Times New Roman" w:hAnsi="Palatino Linotype" w:cs="Simplified Arabic"/>
                <w:sz w:val="18"/>
                <w:szCs w:val="18"/>
                <w:lang w:val="en-GB" w:bidi="ar-EG"/>
              </w:rPr>
              <w:t>UNEMP</w:t>
            </w:r>
          </w:p>
        </w:tc>
        <w:tc>
          <w:tcPr>
            <w:tcW w:w="2242" w:type="dxa"/>
          </w:tcPr>
          <w:p w14:paraId="249D650F" w14:textId="09695245"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Unemployment, total (% of total labour force)</w:t>
            </w:r>
          </w:p>
        </w:tc>
        <w:tc>
          <w:tcPr>
            <w:tcW w:w="4737" w:type="dxa"/>
          </w:tcPr>
          <w:p w14:paraId="453AABB8"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The share of the labour force that is without work but available for and seeking employment.</w:t>
            </w:r>
          </w:p>
        </w:tc>
        <w:tc>
          <w:tcPr>
            <w:tcW w:w="1530" w:type="dxa"/>
          </w:tcPr>
          <w:p w14:paraId="76DA7F51"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World Bank, WDI</w:t>
            </w:r>
          </w:p>
        </w:tc>
      </w:tr>
      <w:tr w:rsidR="00587784" w:rsidRPr="00D6346F" w14:paraId="50CA3219" w14:textId="77777777" w:rsidTr="00D6346F">
        <w:tc>
          <w:tcPr>
            <w:tcW w:w="1121" w:type="dxa"/>
          </w:tcPr>
          <w:p w14:paraId="0FBB2C65"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sz w:val="18"/>
                <w:szCs w:val="18"/>
                <w:lang w:val="en-GB" w:bidi="ar-EG"/>
              </w:rPr>
              <w:t>LBBND</w:t>
            </w:r>
          </w:p>
          <w:p w14:paraId="1AA2DC6F"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p>
        </w:tc>
        <w:tc>
          <w:tcPr>
            <w:tcW w:w="2242" w:type="dxa"/>
          </w:tcPr>
          <w:p w14:paraId="74EF5B93"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Log of fixed broadband subscriptions</w:t>
            </w:r>
          </w:p>
        </w:tc>
        <w:tc>
          <w:tcPr>
            <w:tcW w:w="4737" w:type="dxa"/>
          </w:tcPr>
          <w:p w14:paraId="1D98FAA9"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 xml:space="preserve">Natural logarithm of fixed broadband subscriptions per 100 people. The underlying indicator measures fixed high-speed Internet subscriptions with downstream speeds of 256 kbit/s or more, including </w:t>
            </w:r>
            <w:r w:rsidRPr="00D6346F">
              <w:rPr>
                <w:rFonts w:ascii="Palatino Linotype" w:eastAsia="Times New Roman" w:hAnsi="Palatino Linotype" w:cs="Simplified Arabic"/>
                <w:sz w:val="18"/>
                <w:szCs w:val="18"/>
                <w:lang w:val="en-GB"/>
              </w:rPr>
              <w:lastRenderedPageBreak/>
              <w:t>DSL, cable modem, fibre, satellite, fixed wireless, and WiMAX connections.</w:t>
            </w:r>
          </w:p>
        </w:tc>
        <w:tc>
          <w:tcPr>
            <w:tcW w:w="1530" w:type="dxa"/>
            <w:tcBorders>
              <w:bottom w:val="single" w:sz="12" w:space="0" w:color="auto"/>
            </w:tcBorders>
          </w:tcPr>
          <w:p w14:paraId="10D4DA5F"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lastRenderedPageBreak/>
              <w:t>World Bank, WDI, author's transformation</w:t>
            </w:r>
          </w:p>
        </w:tc>
      </w:tr>
      <w:tr w:rsidR="00587784" w:rsidRPr="00D6346F" w14:paraId="6E120AFA" w14:textId="77777777" w:rsidTr="00D6346F">
        <w:tc>
          <w:tcPr>
            <w:tcW w:w="1121" w:type="dxa"/>
          </w:tcPr>
          <w:p w14:paraId="77F0BCC6"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sz w:val="18"/>
                <w:szCs w:val="18"/>
                <w:lang w:val="en-GB" w:bidi="ar-EG"/>
              </w:rPr>
              <w:t>GFCF</w:t>
            </w:r>
          </w:p>
        </w:tc>
        <w:tc>
          <w:tcPr>
            <w:tcW w:w="2242" w:type="dxa"/>
          </w:tcPr>
          <w:p w14:paraId="6986F402"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Gross fixed capital formation (% of GDP)</w:t>
            </w:r>
          </w:p>
          <w:p w14:paraId="794BE922"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p>
        </w:tc>
        <w:tc>
          <w:tcPr>
            <w:tcW w:w="4737" w:type="dxa"/>
          </w:tcPr>
          <w:p w14:paraId="703BB994"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The value of investment in fixed assets as a percentage of GDP, providing an indicator of long-term capital investment and the accumulation of productive assets that support future economic growth.</w:t>
            </w:r>
          </w:p>
        </w:tc>
        <w:tc>
          <w:tcPr>
            <w:tcW w:w="1530" w:type="dxa"/>
          </w:tcPr>
          <w:p w14:paraId="3E4B6943"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World Bank, WDI</w:t>
            </w:r>
          </w:p>
        </w:tc>
      </w:tr>
      <w:tr w:rsidR="00587784" w:rsidRPr="00D6346F" w14:paraId="3E3F22C0" w14:textId="77777777" w:rsidTr="00D6346F">
        <w:trPr>
          <w:trHeight w:val="1437"/>
        </w:trPr>
        <w:tc>
          <w:tcPr>
            <w:tcW w:w="1121" w:type="dxa"/>
          </w:tcPr>
          <w:p w14:paraId="453BF847"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sz w:val="18"/>
                <w:szCs w:val="18"/>
                <w:lang w:val="en-GB" w:bidi="ar-EG"/>
              </w:rPr>
              <w:t>EDU</w:t>
            </w:r>
          </w:p>
        </w:tc>
        <w:tc>
          <w:tcPr>
            <w:tcW w:w="2242" w:type="dxa"/>
          </w:tcPr>
          <w:p w14:paraId="28B0A585"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School enrollment, tertiary (% gross)</w:t>
            </w:r>
          </w:p>
        </w:tc>
        <w:tc>
          <w:tcPr>
            <w:tcW w:w="4737" w:type="dxa"/>
          </w:tcPr>
          <w:p w14:paraId="1BCA9E1C"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Total enrollment in tertiary education, regardless of students' age, as a percentage of the population of the official tertiary education age group. It serves as an indicator of the extent of participation in higher education and human capital development.</w:t>
            </w:r>
          </w:p>
        </w:tc>
        <w:tc>
          <w:tcPr>
            <w:tcW w:w="1530" w:type="dxa"/>
          </w:tcPr>
          <w:p w14:paraId="472053E4" w14:textId="2885DE22"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World Bank, WDI</w:t>
            </w:r>
          </w:p>
        </w:tc>
      </w:tr>
      <w:tr w:rsidR="00587784" w:rsidRPr="00D6346F" w14:paraId="5399E7E9" w14:textId="77777777" w:rsidTr="00D6346F">
        <w:tc>
          <w:tcPr>
            <w:tcW w:w="1121" w:type="dxa"/>
          </w:tcPr>
          <w:p w14:paraId="1725002F"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sz w:val="18"/>
                <w:szCs w:val="18"/>
                <w:lang w:val="en-GB" w:bidi="ar-EG"/>
              </w:rPr>
              <w:t>EDUBBNDC</w:t>
            </w:r>
          </w:p>
        </w:tc>
        <w:tc>
          <w:tcPr>
            <w:tcW w:w="2242" w:type="dxa"/>
          </w:tcPr>
          <w:p w14:paraId="0184DC27"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Education–broadband interaction term</w:t>
            </w:r>
          </w:p>
        </w:tc>
        <w:tc>
          <w:tcPr>
            <w:tcW w:w="4737" w:type="dxa"/>
          </w:tcPr>
          <w:p w14:paraId="60FE65CF"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 xml:space="preserve">Constructed as the product of mean-centred tertiary enrolment and mean-centred logged fixed broadband subscriptions: </w:t>
            </w:r>
            <m:oMath>
              <m:r>
                <w:rPr>
                  <w:rFonts w:ascii="Cambria Math" w:eastAsia="Times New Roman" w:hAnsi="Cambria Math" w:cs="Simplified Arabic"/>
                  <w:sz w:val="18"/>
                  <w:szCs w:val="18"/>
                  <w:lang w:val="en-GB"/>
                </w:rPr>
                <m:t>EDUBBNDC=</m:t>
              </m:r>
              <m:d>
                <m:dPr>
                  <m:ctrlPr>
                    <w:rPr>
                      <w:rFonts w:ascii="Cambria Math" w:eastAsia="Times New Roman" w:hAnsi="Cambria Math" w:cs="Simplified Arabic"/>
                      <w:i/>
                      <w:sz w:val="18"/>
                      <w:szCs w:val="18"/>
                      <w:lang w:val="en-GB"/>
                    </w:rPr>
                  </m:ctrlPr>
                </m:dPr>
                <m:e>
                  <m:r>
                    <w:rPr>
                      <w:rFonts w:ascii="Cambria Math" w:eastAsia="Times New Roman" w:hAnsi="Cambria Math" w:cs="Simplified Arabic"/>
                      <w:sz w:val="18"/>
                      <w:szCs w:val="18"/>
                      <w:lang w:val="en-GB"/>
                    </w:rPr>
                    <m:t>EDU-</m:t>
                  </m:r>
                  <m:acc>
                    <m:accPr>
                      <m:chr m:val="̅"/>
                      <m:ctrlPr>
                        <w:rPr>
                          <w:rFonts w:ascii="Cambria Math" w:eastAsia="Times New Roman" w:hAnsi="Cambria Math" w:cs="Simplified Arabic"/>
                          <w:i/>
                          <w:sz w:val="18"/>
                          <w:szCs w:val="18"/>
                          <w:lang w:val="en-GB"/>
                        </w:rPr>
                      </m:ctrlPr>
                    </m:accPr>
                    <m:e>
                      <m:r>
                        <w:rPr>
                          <w:rFonts w:ascii="Cambria Math" w:eastAsia="Times New Roman" w:hAnsi="Cambria Math" w:cs="Simplified Arabic"/>
                          <w:sz w:val="18"/>
                          <w:szCs w:val="18"/>
                          <w:lang w:val="en-GB"/>
                        </w:rPr>
                        <m:t>EDU</m:t>
                      </m:r>
                    </m:e>
                  </m:acc>
                </m:e>
              </m:d>
              <m:r>
                <w:rPr>
                  <w:rFonts w:ascii="Cambria Math" w:eastAsia="Times New Roman" w:hAnsi="Cambria Math" w:cs="Simplified Arabic"/>
                  <w:sz w:val="18"/>
                  <w:szCs w:val="18"/>
                  <w:lang w:val="en-GB"/>
                </w:rPr>
                <m:t>(LBBND-</m:t>
              </m:r>
              <m:acc>
                <m:accPr>
                  <m:chr m:val="̅"/>
                  <m:ctrlPr>
                    <w:rPr>
                      <w:rFonts w:ascii="Cambria Math" w:eastAsia="Times New Roman" w:hAnsi="Cambria Math" w:cs="Simplified Arabic"/>
                      <w:i/>
                      <w:sz w:val="18"/>
                      <w:szCs w:val="18"/>
                      <w:lang w:val="en-GB"/>
                    </w:rPr>
                  </m:ctrlPr>
                </m:accPr>
                <m:e>
                  <m:r>
                    <w:rPr>
                      <w:rFonts w:ascii="Cambria Math" w:eastAsia="Times New Roman" w:hAnsi="Cambria Math" w:cs="Simplified Arabic"/>
                      <w:sz w:val="18"/>
                      <w:szCs w:val="18"/>
                      <w:lang w:val="en-GB"/>
                    </w:rPr>
                    <m:t>LBBND</m:t>
                  </m:r>
                </m:e>
              </m:acc>
              <m:r>
                <w:rPr>
                  <w:rFonts w:ascii="Cambria Math" w:eastAsia="Times New Roman" w:hAnsi="Cambria Math" w:cs="Simplified Arabic"/>
                  <w:sz w:val="18"/>
                  <w:szCs w:val="18"/>
                  <w:lang w:val="en-GB"/>
                </w:rPr>
                <m:t>)</m:t>
              </m:r>
            </m:oMath>
          </w:p>
        </w:tc>
        <w:tc>
          <w:tcPr>
            <w:tcW w:w="1530" w:type="dxa"/>
            <w:tcBorders>
              <w:bottom w:val="single" w:sz="4" w:space="0" w:color="auto"/>
            </w:tcBorders>
          </w:tcPr>
          <w:p w14:paraId="1A94A566"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Author's calculation based on World Bank data</w:t>
            </w:r>
          </w:p>
        </w:tc>
      </w:tr>
      <w:tr w:rsidR="00587784" w:rsidRPr="00D6346F" w14:paraId="11C721EE" w14:textId="77777777" w:rsidTr="00D6346F">
        <w:tc>
          <w:tcPr>
            <w:tcW w:w="1121" w:type="dxa"/>
          </w:tcPr>
          <w:p w14:paraId="5262B5C7"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sz w:val="18"/>
                <w:szCs w:val="18"/>
                <w:lang w:val="en-GB" w:bidi="ar-EG"/>
              </w:rPr>
              <w:t>DUM2011</w:t>
            </w:r>
          </w:p>
        </w:tc>
        <w:tc>
          <w:tcPr>
            <w:tcW w:w="2242" w:type="dxa"/>
          </w:tcPr>
          <w:p w14:paraId="2FE46EDB"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2011 shock dummy</w:t>
            </w:r>
          </w:p>
        </w:tc>
        <w:tc>
          <w:tcPr>
            <w:tcW w:w="4737" w:type="dxa"/>
          </w:tcPr>
          <w:p w14:paraId="697DA00C"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Pulse dummy taking the value 1 in 2011 and 0 otherwise, included to control for the exceptional economic and labour-market disturbance associated with that year.</w:t>
            </w:r>
          </w:p>
        </w:tc>
        <w:tc>
          <w:tcPr>
            <w:tcW w:w="1530" w:type="dxa"/>
            <w:tcBorders>
              <w:bottom w:val="single" w:sz="4" w:space="0" w:color="auto"/>
            </w:tcBorders>
          </w:tcPr>
          <w:p w14:paraId="1371DA0F"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sz w:val="18"/>
                <w:szCs w:val="18"/>
                <w:lang w:val="en-GB"/>
              </w:rPr>
              <w:t>Author's construction</w:t>
            </w:r>
          </w:p>
        </w:tc>
      </w:tr>
      <w:tr w:rsidR="00587784" w:rsidRPr="00D6346F" w14:paraId="4B54941E" w14:textId="77777777" w:rsidTr="00744F37">
        <w:tc>
          <w:tcPr>
            <w:tcW w:w="9630" w:type="dxa"/>
            <w:gridSpan w:val="4"/>
          </w:tcPr>
          <w:p w14:paraId="1F6D6EF2"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bidi="ar-EG"/>
              </w:rPr>
            </w:pPr>
            <w:r w:rsidRPr="00D6346F">
              <w:rPr>
                <w:rFonts w:ascii="Palatino Linotype" w:eastAsia="Times New Roman" w:hAnsi="Palatino Linotype" w:cs="Simplified Arabic"/>
                <w:b/>
                <w:sz w:val="18"/>
                <w:szCs w:val="18"/>
                <w:lang w:val="en-GB"/>
              </w:rPr>
              <w:t xml:space="preserve">Note: </w:t>
            </w:r>
            <w:r w:rsidRPr="00D6346F">
              <w:rPr>
                <w:rFonts w:ascii="Palatino Linotype" w:eastAsia="Times New Roman" w:hAnsi="Palatino Linotype" w:cs="Simplified Arabic"/>
                <w:sz w:val="18"/>
                <w:szCs w:val="18"/>
                <w:lang w:val="en-GB"/>
              </w:rPr>
              <w:t>Fixed broadband subscriptions per 100 people are transformed into natural logarithms and denoted by LBBND. The variables used to construct EDUBBNDC are mean-centred to reduce non-essential multicollinearity associated with the multiplicative interaction term and to facilitate interpretation of the lower-order coefficients at the sample means of the interacting variables (</w:t>
            </w:r>
            <w:r w:rsidRPr="00D6346F">
              <w:rPr>
                <w:rFonts w:ascii="Palatino Linotype" w:eastAsia="Times New Roman" w:hAnsi="Palatino Linotype" w:cs="Simplified Arabic"/>
                <w:sz w:val="18"/>
                <w:szCs w:val="18"/>
                <w:lang w:val="en-GB" w:bidi="ar-EG"/>
              </w:rPr>
              <w:t>Iacobucci et al., 2016; Smith &amp; Sasaki, 1979).</w:t>
            </w:r>
          </w:p>
          <w:p w14:paraId="4445F854" w14:textId="77777777" w:rsidR="00587784" w:rsidRPr="00D6346F" w:rsidRDefault="00587784" w:rsidP="00D6346F">
            <w:pPr>
              <w:spacing w:after="60" w:line="240" w:lineRule="atLeast"/>
              <w:jc w:val="center"/>
              <w:rPr>
                <w:rFonts w:ascii="Palatino Linotype" w:eastAsia="Times New Roman" w:hAnsi="Palatino Linotype" w:cs="Simplified Arabic"/>
                <w:sz w:val="18"/>
                <w:szCs w:val="18"/>
                <w:lang w:val="en-GB"/>
              </w:rPr>
            </w:pPr>
            <w:r w:rsidRPr="00D6346F">
              <w:rPr>
                <w:rFonts w:ascii="Palatino Linotype" w:eastAsia="Times New Roman" w:hAnsi="Palatino Linotype" w:cs="Simplified Arabic"/>
                <w:b/>
                <w:sz w:val="18"/>
                <w:szCs w:val="18"/>
                <w:lang w:val="en-GB"/>
              </w:rPr>
              <w:t xml:space="preserve">Source: </w:t>
            </w:r>
            <w:r w:rsidRPr="00D6346F">
              <w:rPr>
                <w:rFonts w:ascii="Palatino Linotype" w:eastAsia="Times New Roman" w:hAnsi="Palatino Linotype" w:cs="Simplified Arabic"/>
                <w:sz w:val="18"/>
                <w:szCs w:val="18"/>
                <w:lang w:val="en-GB"/>
              </w:rPr>
              <w:t>Author's compilation based on World Bank, World Development Indicators (WDI), and author's calculations.</w:t>
            </w:r>
          </w:p>
        </w:tc>
      </w:tr>
    </w:tbl>
    <w:p w14:paraId="07F2BC29" w14:textId="77777777" w:rsidR="00587784" w:rsidRPr="00D6346F" w:rsidRDefault="00587784" w:rsidP="00D6346F">
      <w:pPr>
        <w:spacing w:before="240" w:after="60" w:line="240" w:lineRule="atLeast"/>
        <w:rPr>
          <w:rFonts w:ascii="Palatino Linotype" w:eastAsia="Times New Roman" w:hAnsi="Palatino Linotype" w:cs="Simplified Arabic"/>
          <w:b/>
          <w:bCs/>
          <w:sz w:val="22"/>
          <w:szCs w:val="22"/>
          <w:lang w:val="en-GB"/>
        </w:rPr>
      </w:pPr>
      <w:r w:rsidRPr="00D6346F">
        <w:rPr>
          <w:rFonts w:ascii="Palatino Linotype" w:eastAsia="Times New Roman" w:hAnsi="Palatino Linotype" w:cs="Simplified Arabic"/>
          <w:b/>
          <w:bCs/>
          <w:sz w:val="22"/>
          <w:szCs w:val="22"/>
          <w:lang w:val="en-GB"/>
        </w:rPr>
        <w:t>4.2.1 Empirical Specification and Variable Transformation</w:t>
      </w:r>
    </w:p>
    <w:p w14:paraId="06292D37" w14:textId="77777777" w:rsidR="00587784" w:rsidRPr="00B67805" w:rsidRDefault="00587784" w:rsidP="00D6346F">
      <w:pPr>
        <w:spacing w:after="60" w:line="240" w:lineRule="atLeast"/>
        <w:rPr>
          <w:rFonts w:ascii="Palatino Linotype" w:hAnsi="Palatino Linotype" w:cs="Simplified Arabic"/>
          <w:lang w:val="en-GB" w:bidi="ar-EG"/>
        </w:rPr>
      </w:pPr>
      <w:r w:rsidRPr="00B67805">
        <w:rPr>
          <w:rFonts w:ascii="Palatino Linotype" w:hAnsi="Palatino Linotype" w:cs="Simplified Arabic"/>
          <w:lang w:val="en-GB" w:bidi="ar-EG"/>
        </w:rPr>
        <w:t>The general functional form of the model is expressed by Equation [1] as follows:</w:t>
      </w:r>
    </w:p>
    <w:p w14:paraId="74B852EC" w14:textId="77777777" w:rsidR="00587784" w:rsidRPr="00B67805" w:rsidRDefault="00000000" w:rsidP="00D6346F">
      <w:pPr>
        <w:spacing w:after="60" w:line="240" w:lineRule="atLeast"/>
        <w:rPr>
          <w:rFonts w:ascii="Palatino Linotype" w:hAnsi="Palatino Linotype" w:cs="Simplified Arabic"/>
          <w:sz w:val="18"/>
          <w:szCs w:val="18"/>
          <w:lang w:val="en-GB"/>
        </w:rPr>
      </w:pPr>
      <m:oMathPara>
        <m:oMath>
          <m:sSub>
            <m:sSubPr>
              <m:ctrlPr>
                <w:rPr>
                  <w:rFonts w:ascii="Cambria Math" w:hAnsi="Cambria Math" w:cs="Simplified Arabic"/>
                  <w:i/>
                  <w:kern w:val="2"/>
                  <w:sz w:val="18"/>
                  <w:szCs w:val="18"/>
                  <w:lang w:val="en-GB" w:bidi="ar-EG"/>
                  <w14:ligatures w14:val="standardContextual"/>
                </w:rPr>
              </m:ctrlPr>
            </m:sSubPr>
            <m:e>
              <m:r>
                <w:rPr>
                  <w:rFonts w:ascii="Cambria Math" w:hAnsi="Cambria Math" w:cs="Simplified Arabic"/>
                  <w:sz w:val="18"/>
                  <w:szCs w:val="18"/>
                  <w:lang w:val="en-GB"/>
                </w:rPr>
                <m:t>UNEMP</m:t>
              </m:r>
            </m:e>
            <m:sub>
              <m:r>
                <w:rPr>
                  <w:rFonts w:ascii="Cambria Math" w:hAnsi="Cambria Math" w:cs="Simplified Arabic"/>
                  <w:sz w:val="18"/>
                  <w:szCs w:val="18"/>
                  <w:lang w:val="en-GB"/>
                </w:rPr>
                <m:t>t</m:t>
              </m:r>
            </m:sub>
          </m:sSub>
          <m:r>
            <w:rPr>
              <w:rFonts w:ascii="Cambria Math" w:hAnsi="Cambria Math" w:cs="Simplified Arabic"/>
              <w:sz w:val="18"/>
              <w:szCs w:val="18"/>
              <w:lang w:val="en-GB"/>
            </w:rPr>
            <m:t xml:space="preserve">=f </m:t>
          </m:r>
          <m:d>
            <m:dPr>
              <m:ctrlPr>
                <w:rPr>
                  <w:rFonts w:ascii="Cambria Math" w:hAnsi="Cambria Math" w:cs="Simplified Arabic"/>
                  <w:i/>
                  <w:sz w:val="18"/>
                  <w:szCs w:val="18"/>
                  <w:lang w:val="en-GB"/>
                </w:rPr>
              </m:ctrlPr>
            </m:dPr>
            <m:e>
              <m:sSub>
                <m:sSubPr>
                  <m:ctrlPr>
                    <w:rPr>
                      <w:rFonts w:ascii="Cambria Math" w:hAnsi="Cambria Math" w:cs="Simplified Arabic"/>
                      <w:i/>
                      <w:sz w:val="18"/>
                      <w:szCs w:val="18"/>
                      <w:lang w:val="en-GB"/>
                    </w:rPr>
                  </m:ctrlPr>
                </m:sSubPr>
                <m:e>
                  <m:r>
                    <m:rPr>
                      <m:sty m:val="p"/>
                    </m:rPr>
                    <w:rPr>
                      <w:rFonts w:ascii="Cambria Math" w:eastAsia="Cambria Math" w:hAnsi="Cambria Math" w:cs="Simplified Arabic"/>
                      <w:sz w:val="18"/>
                      <w:szCs w:val="18"/>
                      <w:lang w:val="en-GB"/>
                    </w:rPr>
                    <m:t>LBBND</m:t>
                  </m:r>
                </m:e>
                <m:sub>
                  <m:r>
                    <w:rPr>
                      <w:rFonts w:ascii="Cambria Math" w:hAnsi="Cambria Math" w:cs="Simplified Arabic"/>
                      <w:sz w:val="18"/>
                      <w:szCs w:val="18"/>
                      <w:lang w:val="en-GB"/>
                    </w:rPr>
                    <m:t>t</m:t>
                  </m:r>
                </m:sub>
              </m:sSub>
              <m:r>
                <w:rPr>
                  <w:rFonts w:ascii="Cambria Math" w:hAnsi="Cambria Math" w:cs="Simplified Arabic"/>
                  <w:sz w:val="18"/>
                  <w:szCs w:val="18"/>
                  <w:lang w:val="en-GB"/>
                </w:rPr>
                <m:t xml:space="preserve">, </m:t>
              </m:r>
              <m:sSub>
                <m:sSubPr>
                  <m:ctrlPr>
                    <w:rPr>
                      <w:rFonts w:ascii="Cambria Math" w:hAnsi="Cambria Math" w:cs="Simplified Arabic"/>
                      <w:i/>
                      <w:sz w:val="18"/>
                      <w:szCs w:val="18"/>
                      <w:lang w:val="en-GB"/>
                    </w:rPr>
                  </m:ctrlPr>
                </m:sSubPr>
                <m:e>
                  <m:r>
                    <w:rPr>
                      <w:rFonts w:ascii="Cambria Math" w:hAnsi="Cambria Math" w:cs="Simplified Arabic"/>
                      <w:sz w:val="18"/>
                      <w:szCs w:val="18"/>
                      <w:lang w:val="en-GB"/>
                    </w:rPr>
                    <m:t>EDU</m:t>
                  </m:r>
                </m:e>
                <m:sub>
                  <m:r>
                    <w:rPr>
                      <w:rFonts w:ascii="Cambria Math" w:hAnsi="Cambria Math" w:cs="Simplified Arabic"/>
                      <w:sz w:val="18"/>
                      <w:szCs w:val="18"/>
                      <w:lang w:val="en-GB"/>
                    </w:rPr>
                    <m:t>t</m:t>
                  </m:r>
                </m:sub>
              </m:sSub>
              <m:r>
                <w:rPr>
                  <w:rFonts w:ascii="Cambria Math" w:hAnsi="Cambria Math" w:cs="Simplified Arabic"/>
                  <w:sz w:val="18"/>
                  <w:szCs w:val="18"/>
                  <w:lang w:val="en-GB"/>
                </w:rPr>
                <m:t xml:space="preserve">, </m:t>
              </m:r>
              <m:sSub>
                <m:sSubPr>
                  <m:ctrlPr>
                    <w:rPr>
                      <w:rFonts w:ascii="Cambria Math" w:hAnsi="Cambria Math" w:cs="Simplified Arabic"/>
                      <w:i/>
                      <w:sz w:val="18"/>
                      <w:szCs w:val="18"/>
                      <w:lang w:val="en-GB"/>
                    </w:rPr>
                  </m:ctrlPr>
                </m:sSubPr>
                <m:e>
                  <m:r>
                    <w:rPr>
                      <w:rFonts w:ascii="Cambria Math" w:hAnsi="Cambria Math" w:cs="Simplified Arabic"/>
                      <w:sz w:val="18"/>
                      <w:szCs w:val="18"/>
                      <w:lang w:val="en-GB"/>
                    </w:rPr>
                    <m:t>GFCF</m:t>
                  </m:r>
                </m:e>
                <m:sub>
                  <m:r>
                    <w:rPr>
                      <w:rFonts w:ascii="Cambria Math" w:hAnsi="Cambria Math" w:cs="Simplified Arabic"/>
                      <w:sz w:val="18"/>
                      <w:szCs w:val="18"/>
                      <w:lang w:val="en-GB"/>
                    </w:rPr>
                    <m:t>t</m:t>
                  </m:r>
                </m:sub>
              </m:sSub>
              <m:r>
                <w:rPr>
                  <w:rFonts w:ascii="Cambria Math" w:hAnsi="Cambria Math" w:cs="Simplified Arabic"/>
                  <w:sz w:val="18"/>
                  <w:szCs w:val="18"/>
                  <w:lang w:val="en-GB"/>
                </w:rPr>
                <m:t xml:space="preserve">, </m:t>
              </m:r>
              <m:sSub>
                <m:sSubPr>
                  <m:ctrlPr>
                    <w:rPr>
                      <w:rFonts w:ascii="Cambria Math" w:hAnsi="Cambria Math" w:cs="Simplified Arabic"/>
                      <w:i/>
                      <w:sz w:val="18"/>
                      <w:szCs w:val="18"/>
                      <w:lang w:val="en-GB"/>
                    </w:rPr>
                  </m:ctrlPr>
                </m:sSubPr>
                <m:e>
                  <m:r>
                    <m:rPr>
                      <m:sty m:val="p"/>
                    </m:rPr>
                    <w:rPr>
                      <w:rFonts w:ascii="Cambria Math" w:eastAsia="Cambria Math" w:hAnsi="Cambria Math" w:cs="Simplified Arabic"/>
                      <w:sz w:val="18"/>
                      <w:szCs w:val="18"/>
                      <w:lang w:val="en-GB"/>
                    </w:rPr>
                    <m:t>EDUBBNDC</m:t>
                  </m:r>
                </m:e>
                <m:sub>
                  <m:r>
                    <w:rPr>
                      <w:rFonts w:ascii="Cambria Math" w:hAnsi="Cambria Math" w:cs="Simplified Arabic"/>
                      <w:sz w:val="18"/>
                      <w:szCs w:val="18"/>
                      <w:lang w:val="en-GB"/>
                    </w:rPr>
                    <m:t>t</m:t>
                  </m:r>
                </m:sub>
              </m:sSub>
              <m:r>
                <w:rPr>
                  <w:rFonts w:ascii="Cambria Math" w:hAnsi="Cambria Math" w:cs="Simplified Arabic"/>
                  <w:sz w:val="18"/>
                  <w:szCs w:val="18"/>
                  <w:lang w:val="en-GB"/>
                </w:rPr>
                <m:t xml:space="preserve">, </m:t>
              </m:r>
              <m:sSub>
                <m:sSubPr>
                  <m:ctrlPr>
                    <w:rPr>
                      <w:rFonts w:ascii="Cambria Math" w:hAnsi="Cambria Math" w:cs="Simplified Arabic"/>
                      <w:i/>
                      <w:sz w:val="18"/>
                      <w:szCs w:val="18"/>
                      <w:lang w:val="en-GB"/>
                    </w:rPr>
                  </m:ctrlPr>
                </m:sSubPr>
                <m:e>
                  <m:r>
                    <w:rPr>
                      <w:rFonts w:ascii="Cambria Math" w:hAnsi="Cambria Math" w:cs="Simplified Arabic"/>
                      <w:sz w:val="18"/>
                      <w:szCs w:val="18"/>
                      <w:lang w:val="en-GB"/>
                    </w:rPr>
                    <m:t>DUM</m:t>
                  </m:r>
                </m:e>
                <m:sub>
                  <m:r>
                    <w:rPr>
                      <w:rFonts w:ascii="Cambria Math" w:hAnsi="Cambria Math" w:cs="Simplified Arabic"/>
                      <w:sz w:val="18"/>
                      <w:szCs w:val="18"/>
                      <w:lang w:val="en-GB"/>
                    </w:rPr>
                    <m:t>2011</m:t>
                  </m:r>
                </m:sub>
              </m:sSub>
            </m:e>
          </m:d>
          <m:r>
            <w:rPr>
              <w:rFonts w:ascii="Cambria Math" w:hAnsi="Cambria Math" w:cs="Simplified Arabic"/>
              <w:sz w:val="18"/>
              <w:szCs w:val="18"/>
              <w:lang w:val="en-GB"/>
            </w:rPr>
            <m:t xml:space="preserve">               [1]</m:t>
          </m:r>
        </m:oMath>
      </m:oMathPara>
    </w:p>
    <w:p w14:paraId="5E520D8F" w14:textId="77777777" w:rsidR="00587784" w:rsidRPr="00B67805" w:rsidRDefault="00587784" w:rsidP="00D6346F">
      <w:pPr>
        <w:spacing w:after="60" w:line="240" w:lineRule="atLeast"/>
        <w:rPr>
          <w:rFonts w:ascii="Palatino Linotype" w:eastAsia="Times New Roman" w:hAnsi="Palatino Linotype" w:cs="Simplified Arabic"/>
          <w:lang w:val="en-GB"/>
        </w:rPr>
      </w:pPr>
      <w:r w:rsidRPr="00B67805">
        <w:rPr>
          <w:rFonts w:ascii="Palatino Linotype" w:eastAsia="Times New Roman" w:hAnsi="Palatino Linotype" w:cs="Simplified Arabic"/>
          <w:lang w:val="en-GB"/>
        </w:rPr>
        <w:t>To model the moderating role of human capital, the constituent variables of the interaction term are mean-centred before multiplication. Mean-centring helps reduce non-essential multicollinearity that may arise mechanically between a multiplicative interaction term and its constituent variables, while also giving the lower-order coefficients an economically meaningful interpretation at the sample mean of the other interacting variable (Smith &amp; Sasaki, 1979; Iacobucci et al., 2016). The interaction term is constructed as</w:t>
      </w:r>
    </w:p>
    <w:p w14:paraId="0CDF2176" w14:textId="77777777" w:rsidR="00587784" w:rsidRPr="00B67805" w:rsidRDefault="00000000" w:rsidP="00D6346F">
      <w:pPr>
        <w:spacing w:after="60" w:line="240" w:lineRule="atLeast"/>
        <w:ind w:firstLine="540"/>
        <w:rPr>
          <w:rFonts w:ascii="Palatino Linotype" w:hAnsi="Palatino Linotype" w:cs="Simplified Arabic"/>
          <w:sz w:val="18"/>
          <w:szCs w:val="18"/>
          <w:lang w:val="en-GB"/>
        </w:rPr>
      </w:pPr>
      <m:oMathPara>
        <m:oMath>
          <m:sSub>
            <m:sSubPr>
              <m:ctrlPr>
                <w:rPr>
                  <w:rFonts w:ascii="Cambria Math" w:hAnsi="Cambria Math" w:cs="Simplified Arabic"/>
                  <w:i/>
                  <w:sz w:val="18"/>
                  <w:szCs w:val="18"/>
                  <w:lang w:val="en-GB"/>
                </w:rPr>
              </m:ctrlPr>
            </m:sSubPr>
            <m:e>
              <m:r>
                <m:rPr>
                  <m:sty m:val="p"/>
                </m:rPr>
                <w:rPr>
                  <w:rFonts w:ascii="Cambria Math" w:eastAsia="Cambria Math" w:hAnsi="Cambria Math" w:cs="Simplified Arabic"/>
                  <w:sz w:val="18"/>
                  <w:szCs w:val="18"/>
                  <w:lang w:val="en-GB"/>
                </w:rPr>
                <m:t>EDUBBNDC</m:t>
              </m:r>
            </m:e>
            <m:sub>
              <m:r>
                <w:rPr>
                  <w:rFonts w:ascii="Cambria Math" w:hAnsi="Cambria Math" w:cs="Simplified Arabic"/>
                  <w:sz w:val="18"/>
                  <w:szCs w:val="18"/>
                  <w:lang w:val="en-GB"/>
                </w:rPr>
                <m:t>t</m:t>
              </m:r>
            </m:sub>
          </m:sSub>
          <m:r>
            <w:rPr>
              <w:rFonts w:ascii="Cambria Math" w:hAnsi="Cambria Math" w:cs="Simplified Arabic"/>
              <w:sz w:val="18"/>
              <w:szCs w:val="18"/>
              <w:lang w:val="en-GB"/>
            </w:rPr>
            <m:t>=</m:t>
          </m:r>
          <m:d>
            <m:dPr>
              <m:begChr m:val="["/>
              <m:endChr m:val="]"/>
              <m:ctrlPr>
                <w:rPr>
                  <w:rFonts w:ascii="Cambria Math" w:hAnsi="Cambria Math" w:cs="Simplified Arabic"/>
                  <w:i/>
                  <w:sz w:val="18"/>
                  <w:szCs w:val="18"/>
                  <w:lang w:val="en-GB"/>
                </w:rPr>
              </m:ctrlPr>
            </m:dPr>
            <m:e>
              <m:sSub>
                <m:sSubPr>
                  <m:ctrlPr>
                    <w:rPr>
                      <w:rFonts w:ascii="Cambria Math" w:hAnsi="Cambria Math" w:cs="Simplified Arabic"/>
                      <w:i/>
                      <w:sz w:val="18"/>
                      <w:szCs w:val="18"/>
                      <w:lang w:val="en-GB"/>
                    </w:rPr>
                  </m:ctrlPr>
                </m:sSubPr>
                <m:e>
                  <m:r>
                    <w:rPr>
                      <w:rFonts w:ascii="Cambria Math" w:hAnsi="Cambria Math" w:cs="Simplified Arabic"/>
                      <w:sz w:val="18"/>
                      <w:szCs w:val="18"/>
                      <w:lang w:val="en-GB"/>
                    </w:rPr>
                    <m:t>EDU</m:t>
                  </m:r>
                </m:e>
                <m:sub>
                  <m:r>
                    <w:rPr>
                      <w:rFonts w:ascii="Cambria Math" w:hAnsi="Cambria Math" w:cs="Simplified Arabic"/>
                      <w:sz w:val="18"/>
                      <w:szCs w:val="18"/>
                      <w:lang w:val="en-GB"/>
                    </w:rPr>
                    <m:t>t</m:t>
                  </m:r>
                </m:sub>
              </m:sSub>
              <m:r>
                <w:rPr>
                  <w:rFonts w:ascii="Cambria Math" w:hAnsi="Cambria Math" w:cs="Simplified Arabic"/>
                  <w:sz w:val="18"/>
                  <w:szCs w:val="18"/>
                  <w:lang w:val="en-GB"/>
                </w:rPr>
                <m:t>-</m:t>
              </m:r>
              <m:acc>
                <m:accPr>
                  <m:chr m:val="̅"/>
                  <m:ctrlPr>
                    <w:rPr>
                      <w:rFonts w:ascii="Cambria Math" w:hAnsi="Cambria Math" w:cs="Simplified Arabic"/>
                      <w:i/>
                      <w:sz w:val="18"/>
                      <w:szCs w:val="18"/>
                      <w:lang w:val="en-GB"/>
                    </w:rPr>
                  </m:ctrlPr>
                </m:accPr>
                <m:e>
                  <m:r>
                    <w:rPr>
                      <w:rFonts w:ascii="Cambria Math" w:hAnsi="Cambria Math" w:cs="Simplified Arabic"/>
                      <w:sz w:val="18"/>
                      <w:szCs w:val="18"/>
                      <w:lang w:val="en-GB"/>
                    </w:rPr>
                    <m:t>EDU</m:t>
                  </m:r>
                </m:e>
              </m:acc>
            </m:e>
          </m:d>
          <m:d>
            <m:dPr>
              <m:begChr m:val="["/>
              <m:endChr m:val="]"/>
              <m:ctrlPr>
                <w:rPr>
                  <w:rFonts w:ascii="Cambria Math" w:hAnsi="Cambria Math" w:cs="Simplified Arabic"/>
                  <w:i/>
                  <w:sz w:val="18"/>
                  <w:szCs w:val="18"/>
                  <w:lang w:val="en-GB"/>
                </w:rPr>
              </m:ctrlPr>
            </m:dPr>
            <m:e>
              <m:sSub>
                <m:sSubPr>
                  <m:ctrlPr>
                    <w:rPr>
                      <w:rFonts w:ascii="Cambria Math" w:hAnsi="Cambria Math" w:cs="Simplified Arabic"/>
                      <w:i/>
                      <w:sz w:val="18"/>
                      <w:szCs w:val="18"/>
                      <w:lang w:val="en-GB"/>
                    </w:rPr>
                  </m:ctrlPr>
                </m:sSubPr>
                <m:e>
                  <m:r>
                    <w:rPr>
                      <w:rFonts w:ascii="Cambria Math" w:hAnsi="Cambria Math" w:cs="Simplified Arabic"/>
                      <w:sz w:val="18"/>
                      <w:szCs w:val="18"/>
                      <w:lang w:val="en-GB"/>
                    </w:rPr>
                    <m:t>LBBND</m:t>
                  </m:r>
                </m:e>
                <m:sub>
                  <m:r>
                    <w:rPr>
                      <w:rFonts w:ascii="Cambria Math" w:hAnsi="Cambria Math" w:cs="Simplified Arabic"/>
                      <w:sz w:val="18"/>
                      <w:szCs w:val="18"/>
                      <w:lang w:val="en-GB"/>
                    </w:rPr>
                    <m:t>t</m:t>
                  </m:r>
                </m:sub>
              </m:sSub>
              <m:r>
                <w:rPr>
                  <w:rFonts w:ascii="Cambria Math" w:hAnsi="Cambria Math" w:cs="Simplified Arabic"/>
                  <w:sz w:val="18"/>
                  <w:szCs w:val="18"/>
                  <w:lang w:val="en-GB"/>
                </w:rPr>
                <m:t>-</m:t>
              </m:r>
              <m:acc>
                <m:accPr>
                  <m:chr m:val="̅"/>
                  <m:ctrlPr>
                    <w:rPr>
                      <w:rFonts w:ascii="Cambria Math" w:hAnsi="Cambria Math" w:cs="Simplified Arabic"/>
                      <w:i/>
                      <w:sz w:val="18"/>
                      <w:szCs w:val="18"/>
                      <w:lang w:val="en-GB"/>
                    </w:rPr>
                  </m:ctrlPr>
                </m:accPr>
                <m:e>
                  <m:r>
                    <w:rPr>
                      <w:rFonts w:ascii="Cambria Math" w:hAnsi="Cambria Math" w:cs="Simplified Arabic"/>
                      <w:sz w:val="18"/>
                      <w:szCs w:val="18"/>
                      <w:lang w:val="en-GB"/>
                    </w:rPr>
                    <m:t>LBBND</m:t>
                  </m:r>
                </m:e>
              </m:acc>
            </m:e>
          </m:d>
          <m:r>
            <w:rPr>
              <w:rFonts w:ascii="Cambria Math" w:hAnsi="Cambria Math" w:cs="Simplified Arabic"/>
              <w:sz w:val="18"/>
              <w:szCs w:val="18"/>
              <w:lang w:val="en-GB"/>
            </w:rPr>
            <m:t xml:space="preserve">         [2]            </m:t>
          </m:r>
        </m:oMath>
      </m:oMathPara>
    </w:p>
    <w:p w14:paraId="67135EAB" w14:textId="77777777" w:rsidR="00587784" w:rsidRPr="00B67805" w:rsidRDefault="00587784" w:rsidP="00D6346F">
      <w:pPr>
        <w:spacing w:after="60" w:line="240" w:lineRule="atLeast"/>
        <w:ind w:firstLine="510"/>
        <w:rPr>
          <w:rFonts w:ascii="Palatino Linotype" w:eastAsia="Times New Roman" w:hAnsi="Palatino Linotype" w:cs="Simplified Arabic"/>
          <w:lang w:val="en-GB"/>
        </w:rPr>
      </w:pPr>
      <w:r w:rsidRPr="00B67805">
        <w:rPr>
          <w:rFonts w:ascii="Palatino Linotype" w:eastAsia="Times New Roman" w:hAnsi="Palatino Linotype" w:cs="Simplified Arabic"/>
          <w:lang w:val="en-GB"/>
        </w:rPr>
        <w:lastRenderedPageBreak/>
        <w:t xml:space="preserve">With this specification, the coefficient on </w:t>
      </w:r>
      <m:oMath>
        <m:r>
          <m:rPr>
            <m:sty m:val="p"/>
          </m:rPr>
          <w:rPr>
            <w:rFonts w:ascii="Cambria Math" w:eastAsia="Times New Roman" w:hAnsi="Cambria Math" w:cs="Simplified Arabic"/>
            <w:lang w:val="en-GB"/>
          </w:rPr>
          <m:t>LBBND</m:t>
        </m:r>
      </m:oMath>
      <w:r w:rsidRPr="00B67805">
        <w:rPr>
          <w:rFonts w:ascii="Palatino Linotype" w:eastAsia="Times New Roman" w:hAnsi="Palatino Linotype" w:cs="Simplified Arabic"/>
          <w:lang w:val="en-GB"/>
        </w:rPr>
        <w:t xml:space="preserve"> represents the conditional effect of broadband when tertiary enrolment is at its sample mean, while the coefficient on </w:t>
      </w:r>
      <m:oMath>
        <m:r>
          <m:rPr>
            <m:sty m:val="p"/>
          </m:rPr>
          <w:rPr>
            <w:rFonts w:ascii="Cambria Math" w:eastAsia="Times New Roman" w:hAnsi="Cambria Math" w:cs="Simplified Arabic"/>
            <w:lang w:val="en-GB"/>
          </w:rPr>
          <m:t>EDU</m:t>
        </m:r>
      </m:oMath>
      <w:r w:rsidRPr="00B67805">
        <w:rPr>
          <w:rFonts w:ascii="Palatino Linotype" w:eastAsia="Times New Roman" w:hAnsi="Palatino Linotype" w:cs="Simplified Arabic"/>
          <w:lang w:val="en-GB"/>
        </w:rPr>
        <w:t xml:space="preserve"> represents the conditional effect of tertiary enrolment when broadband is at its sample mean. The coefficient on </w:t>
      </w:r>
      <m:oMath>
        <m:r>
          <m:rPr>
            <m:sty m:val="p"/>
          </m:rPr>
          <w:rPr>
            <w:rFonts w:ascii="Cambria Math" w:eastAsia="Times New Roman" w:hAnsi="Cambria Math" w:cs="Simplified Arabic"/>
            <w:lang w:val="en-GB"/>
          </w:rPr>
          <m:t>EDUBBN</m:t>
        </m:r>
        <m:sSub>
          <m:sSubPr>
            <m:ctrlPr>
              <w:rPr>
                <w:rFonts w:ascii="Cambria Math" w:eastAsia="Times New Roman" w:hAnsi="Cambria Math" w:cs="Simplified Arabic"/>
                <w:lang w:val="en-GB"/>
              </w:rPr>
            </m:ctrlPr>
          </m:sSubPr>
          <m:e>
            <m:r>
              <m:rPr>
                <m:sty m:val="p"/>
              </m:rPr>
              <w:rPr>
                <w:rFonts w:ascii="Cambria Math" w:eastAsia="Times New Roman" w:hAnsi="Cambria Math" w:cs="Simplified Arabic"/>
                <w:lang w:val="en-GB"/>
              </w:rPr>
              <m:t>D</m:t>
            </m:r>
          </m:e>
          <m:sub>
            <m:r>
              <m:rPr>
                <m:sty m:val="p"/>
              </m:rPr>
              <w:rPr>
                <w:rFonts w:ascii="Cambria Math" w:eastAsia="Times New Roman" w:hAnsi="Cambria Math" w:cs="Simplified Arabic"/>
                <w:lang w:val="en-GB"/>
              </w:rPr>
              <m:t>C</m:t>
            </m:r>
          </m:sub>
        </m:sSub>
      </m:oMath>
      <w:r w:rsidRPr="00B67805">
        <w:rPr>
          <w:rFonts w:ascii="Palatino Linotype" w:eastAsia="Times New Roman" w:hAnsi="Palatino Linotype" w:cs="Simplified Arabic"/>
          <w:lang w:val="en-GB"/>
        </w:rPr>
        <w:t xml:space="preserve"> captures how the marginal effect of broadband varies with tertiary enrolment. </w:t>
      </w:r>
      <m:oMath>
        <m:r>
          <m:rPr>
            <m:sty m:val="p"/>
          </m:rPr>
          <w:rPr>
            <w:rFonts w:ascii="Cambria Math" w:eastAsia="Times New Roman" w:hAnsi="Cambria Math" w:cs="Simplified Arabic"/>
            <w:lang w:val="en-GB"/>
          </w:rPr>
          <m:t>DUM2011</m:t>
        </m:r>
      </m:oMath>
      <w:r w:rsidRPr="00B67805">
        <w:rPr>
          <w:rFonts w:ascii="Palatino Linotype" w:eastAsia="Times New Roman" w:hAnsi="Palatino Linotype" w:cs="Simplified Arabic"/>
          <w:lang w:val="en-GB"/>
        </w:rPr>
        <w:t xml:space="preserve"> is treated as a deterministic fixed exogenous regressor rather than as a stochastic time-series variable and is therefore not subjected to unit-root testing.</w:t>
      </w:r>
    </w:p>
    <w:p w14:paraId="6D23A5CD" w14:textId="77777777" w:rsidR="00587784" w:rsidRPr="00B67805" w:rsidRDefault="00587784" w:rsidP="00D6346F">
      <w:pPr>
        <w:spacing w:after="60" w:line="240" w:lineRule="atLeast"/>
        <w:ind w:firstLine="510"/>
        <w:rPr>
          <w:rFonts w:ascii="Palatino Linotype" w:eastAsia="Times New Roman" w:hAnsi="Palatino Linotype" w:cs="Simplified Arabic"/>
          <w:lang w:val="en-GB"/>
        </w:rPr>
      </w:pPr>
      <w:r w:rsidRPr="00B67805">
        <w:rPr>
          <w:rFonts w:ascii="Palatino Linotype" w:eastAsia="Times New Roman" w:hAnsi="Palatino Linotype" w:cs="Simplified Arabic"/>
          <w:lang w:val="en-GB"/>
        </w:rPr>
        <w:t>Before estimating the ARDL model, the order of integration is examined using the Augmented Dickey–Fuller unit-root test (Dickey &amp; Fuller, 1979, 1981). Variables are tested at the level and, where necessary, at first difference, using an intercept or an intercept and trend, depending on their graphical behaviour. This confirms that no variable is integrated of order two, as ARDL accommodates a mixture of I(0) and I(1) variables but is invalid in the presence of I(2) variables (Pesaran et al., 2001).</w:t>
      </w:r>
    </w:p>
    <w:p w14:paraId="0B9CA7F5" w14:textId="4678F730" w:rsidR="00587784" w:rsidRPr="00D6346F" w:rsidRDefault="00587784" w:rsidP="00D6346F">
      <w:pPr>
        <w:spacing w:before="240" w:after="60" w:line="240" w:lineRule="atLeast"/>
        <w:rPr>
          <w:rFonts w:ascii="Palatino Linotype" w:eastAsia="Times New Roman" w:hAnsi="Palatino Linotype" w:cs="Simplified Arabic"/>
          <w:b/>
          <w:bCs/>
          <w:sz w:val="22"/>
          <w:szCs w:val="22"/>
          <w:lang w:val="en-GB"/>
        </w:rPr>
      </w:pPr>
      <w:r w:rsidRPr="00D6346F">
        <w:rPr>
          <w:rFonts w:ascii="Palatino Linotype" w:eastAsia="Times New Roman" w:hAnsi="Palatino Linotype" w:cs="Simplified Arabic"/>
          <w:b/>
          <w:bCs/>
          <w:sz w:val="22"/>
          <w:szCs w:val="22"/>
          <w:lang w:val="en-GB"/>
        </w:rPr>
        <w:t>4.2.</w:t>
      </w:r>
      <w:r w:rsidR="00D6346F" w:rsidRPr="00D6346F">
        <w:rPr>
          <w:rFonts w:ascii="Palatino Linotype" w:eastAsia="Times New Roman" w:hAnsi="Palatino Linotype" w:cs="Simplified Arabic"/>
          <w:b/>
          <w:bCs/>
          <w:sz w:val="22"/>
          <w:szCs w:val="22"/>
          <w:lang w:val="en-GB"/>
        </w:rPr>
        <w:t>2</w:t>
      </w:r>
      <w:r w:rsidRPr="00D6346F">
        <w:rPr>
          <w:rFonts w:ascii="Palatino Linotype" w:eastAsia="Times New Roman" w:hAnsi="Palatino Linotype" w:cs="Simplified Arabic"/>
          <w:b/>
          <w:bCs/>
          <w:sz w:val="22"/>
          <w:szCs w:val="22"/>
          <w:lang w:val="en-GB"/>
        </w:rPr>
        <w:t xml:space="preserve"> ARDL Representation and Lag Selection</w:t>
      </w:r>
    </w:p>
    <w:p w14:paraId="13E4067F" w14:textId="77777777" w:rsidR="00587784" w:rsidRPr="00B67805" w:rsidRDefault="00587784" w:rsidP="00D6346F">
      <w:pPr>
        <w:spacing w:after="60" w:line="240" w:lineRule="atLeast"/>
        <w:rPr>
          <w:rFonts w:ascii="Palatino Linotype" w:eastAsia="Times New Roman" w:hAnsi="Palatino Linotype" w:cs="Simplified Arabic"/>
          <w:lang w:val="en-GB"/>
        </w:rPr>
      </w:pPr>
      <w:r w:rsidRPr="00B67805">
        <w:rPr>
          <w:rFonts w:ascii="Palatino Linotype" w:eastAsia="Times New Roman" w:hAnsi="Palatino Linotype" w:cs="Simplified Arabic"/>
          <w:lang w:val="en-GB"/>
        </w:rPr>
        <w:t>The general ARDL representation corresponding to the empirical specification is written as:</w:t>
      </w:r>
    </w:p>
    <w:p w14:paraId="2DD9FB39" w14:textId="77777777" w:rsidR="00587784" w:rsidRPr="00B67805" w:rsidRDefault="00000000" w:rsidP="00D6346F">
      <w:pPr>
        <w:spacing w:after="60" w:line="240" w:lineRule="atLeast"/>
        <w:ind w:left="-180" w:right="-424"/>
        <w:rPr>
          <w:rFonts w:ascii="Palatino Linotype" w:hAnsi="Palatino Linotype" w:cs="Simplified Arabic"/>
          <w:lang w:val="en-GB"/>
        </w:rPr>
      </w:pPr>
      <m:oMathPara>
        <m:oMath>
          <m:sSub>
            <m:sSubPr>
              <m:ctrlPr>
                <w:rPr>
                  <w:rFonts w:ascii="Cambria Math" w:hAnsi="Cambria Math" w:cs="Simplified Arabic"/>
                  <w:i/>
                  <w:kern w:val="2"/>
                  <w:lang w:val="en-GB" w:bidi="ar-EG"/>
                  <w14:ligatures w14:val="standardContextual"/>
                </w:rPr>
              </m:ctrlPr>
            </m:sSubPr>
            <m:e>
              <m:r>
                <w:rPr>
                  <w:rFonts w:ascii="Cambria Math" w:hAnsi="Cambria Math" w:cs="Simplified Arabic"/>
                  <w:lang w:val="en-GB"/>
                </w:rPr>
                <m:t>UNEMP</m:t>
              </m:r>
            </m:e>
            <m:sub>
              <m:r>
                <w:rPr>
                  <w:rFonts w:ascii="Cambria Math" w:hAnsi="Cambria Math" w:cs="Simplified Arabic"/>
                  <w:lang w:val="en-GB"/>
                </w:rPr>
                <m:t>t</m:t>
              </m:r>
            </m:sub>
          </m:sSub>
          <m:r>
            <w:rPr>
              <w:rFonts w:ascii="Cambria Math" w:hAnsi="Cambria Math" w:cs="Simplified Arabic"/>
              <w:lang w:val="en-GB"/>
            </w:rPr>
            <m:t>=</m:t>
          </m:r>
          <m:sSub>
            <m:sSubPr>
              <m:ctrlPr>
                <w:rPr>
                  <w:rFonts w:ascii="Cambria Math" w:hAnsi="Cambria Math" w:cs="Simplified Arabic"/>
                  <w:i/>
                  <w:lang w:val="en-GB"/>
                </w:rPr>
              </m:ctrlPr>
            </m:sSubPr>
            <m:e>
              <m:r>
                <w:rPr>
                  <w:rFonts w:ascii="Cambria Math" w:hAnsi="Cambria Math" w:cs="Simplified Arabic"/>
                  <w:lang w:val="en-GB"/>
                </w:rPr>
                <m:t>α</m:t>
              </m:r>
            </m:e>
            <m:sub>
              <m:r>
                <w:rPr>
                  <w:rFonts w:ascii="Cambria Math" w:hAnsi="Cambria Math" w:cs="Simplified Arabic"/>
                  <w:lang w:val="en-GB"/>
                </w:rPr>
                <m:t>0</m:t>
              </m:r>
            </m:sub>
          </m:sSub>
          <m:r>
            <w:rPr>
              <w:rFonts w:ascii="Cambria Math" w:hAnsi="Cambria Math" w:cs="Simplified Arabic"/>
              <w:lang w:val="en-GB"/>
            </w:rPr>
            <m:t>+</m:t>
          </m:r>
          <m:nary>
            <m:naryPr>
              <m:chr m:val="∑"/>
              <m:limLoc m:val="undOvr"/>
              <m:ctrlPr>
                <w:rPr>
                  <w:rFonts w:ascii="Cambria Math" w:hAnsi="Cambria Math" w:cs="Simplified Arabic"/>
                  <w:i/>
                  <w:lang w:val="en-GB"/>
                </w:rPr>
              </m:ctrlPr>
            </m:naryPr>
            <m:sub>
              <m:r>
                <w:rPr>
                  <w:rFonts w:ascii="Cambria Math" w:hAnsi="Cambria Math" w:cs="Simplified Arabic"/>
                  <w:lang w:val="en-GB"/>
                </w:rPr>
                <m:t>i=1</m:t>
              </m:r>
            </m:sub>
            <m:sup>
              <m:r>
                <w:rPr>
                  <w:rFonts w:ascii="Cambria Math" w:hAnsi="Cambria Math" w:cs="Simplified Arabic"/>
                  <w:lang w:val="en-GB"/>
                </w:rPr>
                <m:t>j</m:t>
              </m:r>
            </m:sup>
            <m:e>
              <m:sSub>
                <m:sSubPr>
                  <m:ctrlPr>
                    <w:rPr>
                      <w:rFonts w:ascii="Cambria Math" w:hAnsi="Cambria Math" w:cs="Simplified Arabic"/>
                      <w:i/>
                      <w:lang w:val="en-GB"/>
                    </w:rPr>
                  </m:ctrlPr>
                </m:sSubPr>
                <m:e>
                  <m:r>
                    <w:rPr>
                      <w:rFonts w:ascii="Cambria Math" w:hAnsi="Cambria Math" w:cs="Simplified Arabic"/>
                      <w:lang w:val="en-GB"/>
                    </w:rPr>
                    <m:t>α</m:t>
                  </m:r>
                </m:e>
                <m:sub>
                  <m:r>
                    <w:rPr>
                      <w:rFonts w:ascii="Cambria Math" w:hAnsi="Cambria Math" w:cs="Simplified Arabic"/>
                      <w:lang w:val="en-GB"/>
                    </w:rPr>
                    <m:t>j</m:t>
                  </m:r>
                </m:sub>
              </m:sSub>
              <m:sSub>
                <m:sSubPr>
                  <m:ctrlPr>
                    <w:rPr>
                      <w:rFonts w:ascii="Cambria Math" w:hAnsi="Cambria Math" w:cs="Simplified Arabic"/>
                      <w:i/>
                      <w:lang w:val="en-GB"/>
                    </w:rPr>
                  </m:ctrlPr>
                </m:sSubPr>
                <m:e>
                  <m:r>
                    <w:rPr>
                      <w:rFonts w:ascii="Cambria Math" w:hAnsi="Cambria Math" w:cs="Simplified Arabic"/>
                      <w:lang w:val="en-GB"/>
                    </w:rPr>
                    <m:t xml:space="preserve"> UNEMP</m:t>
                  </m:r>
                </m:e>
                <m:sub>
                  <m:r>
                    <w:rPr>
                      <w:rFonts w:ascii="Cambria Math" w:hAnsi="Cambria Math" w:cs="Simplified Arabic"/>
                      <w:lang w:val="en-GB"/>
                    </w:rPr>
                    <m:t>t-j</m:t>
                  </m:r>
                </m:sub>
              </m:sSub>
              <m:r>
                <w:rPr>
                  <w:rFonts w:ascii="Cambria Math" w:hAnsi="Cambria Math" w:cs="Simplified Arabic"/>
                  <w:lang w:val="en-GB"/>
                </w:rPr>
                <m:t>+</m:t>
              </m:r>
            </m:e>
          </m:nary>
          <m:r>
            <w:rPr>
              <w:rFonts w:ascii="Cambria Math" w:hAnsi="Cambria Math" w:cs="Simplified Arabic"/>
              <w:lang w:val="en-GB"/>
            </w:rPr>
            <m:t xml:space="preserve"> </m:t>
          </m:r>
          <m:nary>
            <m:naryPr>
              <m:chr m:val="∑"/>
              <m:limLoc m:val="undOvr"/>
              <m:ctrlPr>
                <w:rPr>
                  <w:rFonts w:ascii="Cambria Math" w:hAnsi="Cambria Math" w:cs="Simplified Arabic"/>
                  <w:i/>
                  <w:lang w:val="en-GB"/>
                </w:rPr>
              </m:ctrlPr>
            </m:naryPr>
            <m:sub>
              <m:r>
                <w:rPr>
                  <w:rFonts w:ascii="Cambria Math" w:hAnsi="Cambria Math" w:cs="Simplified Arabic"/>
                  <w:lang w:val="en-GB"/>
                </w:rPr>
                <m:t>j=0</m:t>
              </m:r>
            </m:sub>
            <m:sup>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1</m:t>
                  </m:r>
                </m:sub>
              </m:sSub>
            </m:sup>
            <m:e>
              <m:sSub>
                <m:sSubPr>
                  <m:ctrlPr>
                    <w:rPr>
                      <w:rFonts w:ascii="Cambria Math" w:hAnsi="Cambria Math" w:cs="Simplified Arabic"/>
                      <w:i/>
                      <w:lang w:val="en-GB"/>
                    </w:rPr>
                  </m:ctrlPr>
                </m:sSubPr>
                <m:e>
                  <m:r>
                    <w:rPr>
                      <w:rFonts w:ascii="Cambria Math" w:hAnsi="Cambria Math" w:cs="Simplified Arabic"/>
                      <w:lang w:val="en-GB"/>
                    </w:rPr>
                    <m:t>β</m:t>
                  </m:r>
                </m:e>
                <m:sub>
                  <m:r>
                    <w:rPr>
                      <w:rFonts w:ascii="Cambria Math" w:hAnsi="Cambria Math" w:cs="Simplified Arabic"/>
                      <w:lang w:val="en-GB"/>
                    </w:rPr>
                    <m:t>j</m:t>
                  </m:r>
                </m:sub>
              </m:sSub>
            </m:e>
          </m:nary>
          <m:r>
            <w:rPr>
              <w:rFonts w:ascii="Cambria Math" w:hAnsi="Cambria Math" w:cs="Simplified Arabic"/>
              <w:lang w:val="en-GB"/>
            </w:rPr>
            <m:t xml:space="preserve">  </m:t>
          </m:r>
          <m:sSub>
            <m:sSubPr>
              <m:ctrlPr>
                <w:rPr>
                  <w:rFonts w:ascii="Cambria Math" w:hAnsi="Cambria Math" w:cs="Simplified Arabic"/>
                  <w:i/>
                  <w:lang w:val="en-GB"/>
                </w:rPr>
              </m:ctrlPr>
            </m:sSubPr>
            <m:e>
              <m:r>
                <w:rPr>
                  <w:rFonts w:ascii="Cambria Math" w:hAnsi="Cambria Math" w:cs="Simplified Arabic"/>
                  <w:lang w:val="en-GB"/>
                </w:rPr>
                <m:t xml:space="preserve"> GFCF</m:t>
              </m:r>
            </m:e>
            <m:sub>
              <m:r>
                <w:rPr>
                  <w:rFonts w:ascii="Cambria Math" w:hAnsi="Cambria Math" w:cs="Simplified Arabic"/>
                  <w:lang w:val="en-GB"/>
                </w:rPr>
                <m:t>t-j</m:t>
              </m:r>
            </m:sub>
          </m:sSub>
          <m:r>
            <w:rPr>
              <w:rFonts w:ascii="Cambria Math" w:hAnsi="Cambria Math" w:cs="Simplified Arabic"/>
              <w:lang w:val="en-GB"/>
            </w:rPr>
            <m:t xml:space="preserve">+ </m:t>
          </m:r>
          <m:nary>
            <m:naryPr>
              <m:chr m:val="∑"/>
              <m:limLoc m:val="undOvr"/>
              <m:ctrlPr>
                <w:rPr>
                  <w:rFonts w:ascii="Cambria Math" w:hAnsi="Cambria Math" w:cs="Simplified Arabic"/>
                  <w:i/>
                  <w:lang w:val="en-GB"/>
                </w:rPr>
              </m:ctrlPr>
            </m:naryPr>
            <m:sub>
              <m:r>
                <w:rPr>
                  <w:rFonts w:ascii="Cambria Math" w:hAnsi="Cambria Math" w:cs="Simplified Arabic"/>
                  <w:lang w:val="en-GB"/>
                </w:rPr>
                <m:t>j=0</m:t>
              </m:r>
            </m:sub>
            <m:sup>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2</m:t>
                  </m:r>
                </m:sub>
              </m:sSub>
            </m:sup>
            <m:e>
              <m:sSub>
                <m:sSubPr>
                  <m:ctrlPr>
                    <w:rPr>
                      <w:rFonts w:ascii="Cambria Math" w:hAnsi="Cambria Math" w:cs="Simplified Arabic"/>
                      <w:i/>
                      <w:lang w:val="en-GB"/>
                    </w:rPr>
                  </m:ctrlPr>
                </m:sSubPr>
                <m:e>
                  <m:r>
                    <w:rPr>
                      <w:rFonts w:ascii="Cambria Math" w:hAnsi="Cambria Math" w:cs="Simplified Arabic"/>
                      <w:lang w:val="en-GB"/>
                    </w:rPr>
                    <m:t>γ</m:t>
                  </m:r>
                </m:e>
                <m:sub>
                  <m:r>
                    <w:rPr>
                      <w:rFonts w:ascii="Cambria Math" w:hAnsi="Cambria Math" w:cs="Simplified Arabic"/>
                      <w:lang w:val="en-GB"/>
                    </w:rPr>
                    <m:t>j</m:t>
                  </m:r>
                </m:sub>
              </m:sSub>
            </m:e>
          </m:nary>
          <m:r>
            <w:rPr>
              <w:rFonts w:ascii="Cambria Math" w:hAnsi="Cambria Math" w:cs="Simplified Arabic"/>
              <w:lang w:val="en-GB"/>
            </w:rPr>
            <m:t xml:space="preserve">  </m:t>
          </m:r>
          <m:sSub>
            <m:sSubPr>
              <m:ctrlPr>
                <w:rPr>
                  <w:rFonts w:ascii="Cambria Math" w:hAnsi="Cambria Math" w:cs="Simplified Arabic"/>
                  <w:i/>
                  <w:lang w:val="en-GB"/>
                </w:rPr>
              </m:ctrlPr>
            </m:sSubPr>
            <m:e>
              <m:r>
                <w:rPr>
                  <w:rFonts w:ascii="Cambria Math" w:hAnsi="Cambria Math" w:cs="Simplified Arabic"/>
                  <w:lang w:val="en-GB"/>
                </w:rPr>
                <m:t xml:space="preserve"> EDU</m:t>
              </m:r>
            </m:e>
            <m:sub>
              <m:r>
                <w:rPr>
                  <w:rFonts w:ascii="Cambria Math" w:hAnsi="Cambria Math" w:cs="Simplified Arabic"/>
                  <w:lang w:val="en-GB"/>
                </w:rPr>
                <m:t>t-j</m:t>
              </m:r>
            </m:sub>
          </m:sSub>
          <m:r>
            <w:rPr>
              <w:rFonts w:ascii="Cambria Math" w:hAnsi="Cambria Math" w:cs="Simplified Arabic"/>
              <w:lang w:val="en-GB"/>
            </w:rPr>
            <m:t xml:space="preserve">+  </m:t>
          </m:r>
          <m:nary>
            <m:naryPr>
              <m:chr m:val="∑"/>
              <m:limLoc m:val="undOvr"/>
              <m:ctrlPr>
                <w:rPr>
                  <w:rFonts w:ascii="Cambria Math" w:hAnsi="Cambria Math" w:cs="Simplified Arabic"/>
                  <w:i/>
                  <w:lang w:val="en-GB"/>
                </w:rPr>
              </m:ctrlPr>
            </m:naryPr>
            <m:sub>
              <m:r>
                <w:rPr>
                  <w:rFonts w:ascii="Cambria Math" w:hAnsi="Cambria Math" w:cs="Simplified Arabic"/>
                  <w:lang w:val="en-GB"/>
                </w:rPr>
                <m:t>j=0</m:t>
              </m:r>
            </m:sub>
            <m:sup>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3</m:t>
                  </m:r>
                </m:sub>
              </m:sSub>
            </m:sup>
            <m:e>
              <m:sSub>
                <m:sSubPr>
                  <m:ctrlPr>
                    <w:rPr>
                      <w:rFonts w:ascii="Cambria Math" w:hAnsi="Cambria Math" w:cs="Simplified Arabic"/>
                      <w:i/>
                      <w:lang w:val="en-GB"/>
                    </w:rPr>
                  </m:ctrlPr>
                </m:sSubPr>
                <m:e>
                  <m:r>
                    <w:rPr>
                      <w:rFonts w:ascii="Cambria Math" w:hAnsi="Cambria Math" w:cs="Simplified Arabic"/>
                      <w:lang w:val="en-GB"/>
                    </w:rPr>
                    <m:t>δ</m:t>
                  </m:r>
                </m:e>
                <m:sub>
                  <m:r>
                    <w:rPr>
                      <w:rFonts w:ascii="Cambria Math" w:hAnsi="Cambria Math" w:cs="Simplified Arabic"/>
                      <w:lang w:val="en-GB"/>
                    </w:rPr>
                    <m:t>j</m:t>
                  </m:r>
                </m:sub>
              </m:sSub>
            </m:e>
          </m:nary>
          <m:r>
            <w:rPr>
              <w:rFonts w:ascii="Cambria Math" w:hAnsi="Cambria Math" w:cs="Simplified Arabic"/>
              <w:lang w:val="en-GB"/>
            </w:rPr>
            <m:t xml:space="preserve">  </m:t>
          </m:r>
          <m:sSub>
            <m:sSubPr>
              <m:ctrlPr>
                <w:rPr>
                  <w:rFonts w:ascii="Cambria Math" w:hAnsi="Cambria Math" w:cs="Simplified Arabic"/>
                  <w:i/>
                  <w:lang w:val="en-GB"/>
                </w:rPr>
              </m:ctrlPr>
            </m:sSubPr>
            <m:e>
              <m:r>
                <w:rPr>
                  <w:rFonts w:ascii="Cambria Math" w:hAnsi="Cambria Math" w:cs="Simplified Arabic"/>
                  <w:lang w:val="en-GB"/>
                </w:rPr>
                <m:t>LBBND</m:t>
              </m:r>
            </m:e>
            <m:sub>
              <m:r>
                <w:rPr>
                  <w:rFonts w:ascii="Cambria Math" w:hAnsi="Cambria Math" w:cs="Simplified Arabic"/>
                  <w:lang w:val="en-GB"/>
                </w:rPr>
                <m:t>t-j</m:t>
              </m:r>
            </m:sub>
          </m:sSub>
          <m:r>
            <w:rPr>
              <w:rFonts w:ascii="Cambria Math" w:hAnsi="Cambria Math" w:cs="Simplified Arabic"/>
              <w:lang w:val="en-GB"/>
            </w:rPr>
            <m:t xml:space="preserve">  + </m:t>
          </m:r>
          <m:nary>
            <m:naryPr>
              <m:chr m:val="∑"/>
              <m:limLoc m:val="undOvr"/>
              <m:ctrlPr>
                <w:rPr>
                  <w:rFonts w:ascii="Cambria Math" w:hAnsi="Cambria Math" w:cs="Simplified Arabic"/>
                  <w:i/>
                  <w:lang w:val="en-GB"/>
                </w:rPr>
              </m:ctrlPr>
            </m:naryPr>
            <m:sub>
              <m:r>
                <w:rPr>
                  <w:rFonts w:ascii="Cambria Math" w:hAnsi="Cambria Math" w:cs="Simplified Arabic"/>
                  <w:lang w:val="en-GB"/>
                </w:rPr>
                <m:t>j=0</m:t>
              </m:r>
            </m:sub>
            <m:sup>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4</m:t>
                  </m:r>
                </m:sub>
              </m:sSub>
            </m:sup>
            <m:e>
              <m:sSub>
                <m:sSubPr>
                  <m:ctrlPr>
                    <w:rPr>
                      <w:rFonts w:ascii="Cambria Math" w:hAnsi="Cambria Math" w:cs="Simplified Arabic"/>
                      <w:i/>
                      <w:lang w:val="en-GB"/>
                    </w:rPr>
                  </m:ctrlPr>
                </m:sSubPr>
                <m:e>
                  <m:r>
                    <w:rPr>
                      <w:rFonts w:ascii="Cambria Math" w:hAnsi="Cambria Math" w:cs="Simplified Arabic"/>
                      <w:lang w:val="en-GB"/>
                    </w:rPr>
                    <m:t>θ</m:t>
                  </m:r>
                </m:e>
                <m:sub>
                  <m:r>
                    <w:rPr>
                      <w:rFonts w:ascii="Cambria Math" w:hAnsi="Cambria Math" w:cs="Simplified Arabic"/>
                      <w:lang w:val="en-GB"/>
                    </w:rPr>
                    <m:t>j</m:t>
                  </m:r>
                </m:sub>
              </m:sSub>
            </m:e>
          </m:nary>
          <m:r>
            <w:rPr>
              <w:rFonts w:ascii="Cambria Math" w:hAnsi="Cambria Math" w:cs="Simplified Arabic"/>
              <w:lang w:val="en-GB"/>
            </w:rPr>
            <m:t xml:space="preserve">  </m:t>
          </m:r>
          <m:sSub>
            <m:sSubPr>
              <m:ctrlPr>
                <w:rPr>
                  <w:rFonts w:ascii="Cambria Math" w:hAnsi="Cambria Math" w:cs="Simplified Arabic"/>
                  <w:i/>
                  <w:lang w:val="en-GB"/>
                </w:rPr>
              </m:ctrlPr>
            </m:sSubPr>
            <m:e>
              <m:r>
                <w:rPr>
                  <w:rFonts w:ascii="Cambria Math" w:hAnsi="Cambria Math" w:cs="Simplified Arabic"/>
                  <w:lang w:val="en-GB"/>
                </w:rPr>
                <m:t>EDUBBNDC</m:t>
              </m:r>
            </m:e>
            <m:sub>
              <m:r>
                <w:rPr>
                  <w:rFonts w:ascii="Cambria Math" w:hAnsi="Cambria Math" w:cs="Simplified Arabic"/>
                  <w:lang w:val="en-GB"/>
                </w:rPr>
                <m:t>t-j</m:t>
              </m:r>
            </m:sub>
          </m:sSub>
          <m:r>
            <w:rPr>
              <w:rFonts w:ascii="Cambria Math" w:hAnsi="Cambria Math" w:cs="Simplified Arabic"/>
              <w:lang w:val="en-GB"/>
            </w:rPr>
            <m:t xml:space="preserve"> +φ</m:t>
          </m:r>
          <m:sSub>
            <m:sSubPr>
              <m:ctrlPr>
                <w:rPr>
                  <w:rFonts w:ascii="Cambria Math" w:hAnsi="Cambria Math" w:cs="Simplified Arabic"/>
                  <w:i/>
                  <w:lang w:val="en-GB"/>
                </w:rPr>
              </m:ctrlPr>
            </m:sSubPr>
            <m:e>
              <m:r>
                <w:rPr>
                  <w:rFonts w:ascii="Cambria Math" w:hAnsi="Cambria Math" w:cs="Simplified Arabic"/>
                  <w:lang w:val="en-GB"/>
                </w:rPr>
                <m:t>DUM</m:t>
              </m:r>
            </m:e>
            <m:sub>
              <m:r>
                <w:rPr>
                  <w:rFonts w:ascii="Cambria Math" w:hAnsi="Cambria Math" w:cs="Simplified Arabic"/>
                  <w:lang w:val="en-GB"/>
                </w:rPr>
                <m:t>2011</m:t>
              </m:r>
            </m:sub>
          </m:sSub>
          <m:r>
            <w:rPr>
              <w:rFonts w:ascii="Cambria Math" w:hAnsi="Cambria Math" w:cs="Simplified Arabic"/>
              <w:lang w:val="en-GB"/>
            </w:rPr>
            <m:t>+</m:t>
          </m:r>
          <m:sSub>
            <m:sSubPr>
              <m:ctrlPr>
                <w:rPr>
                  <w:rFonts w:ascii="Cambria Math" w:hAnsi="Cambria Math" w:cs="Simplified Arabic"/>
                  <w:i/>
                  <w:lang w:val="en-GB"/>
                </w:rPr>
              </m:ctrlPr>
            </m:sSubPr>
            <m:e>
              <m:r>
                <w:rPr>
                  <w:rFonts w:ascii="Cambria Math" w:hAnsi="Cambria Math" w:cs="Simplified Arabic"/>
                  <w:lang w:val="en-GB"/>
                </w:rPr>
                <m:t>ε</m:t>
              </m:r>
            </m:e>
            <m:sub>
              <m:r>
                <w:rPr>
                  <w:rFonts w:ascii="Cambria Math" w:hAnsi="Cambria Math" w:cs="Simplified Arabic"/>
                  <w:lang w:val="en-GB"/>
                </w:rPr>
                <m:t>t</m:t>
              </m:r>
            </m:sub>
          </m:sSub>
          <m:r>
            <w:rPr>
              <w:rFonts w:ascii="Cambria Math" w:hAnsi="Cambria Math" w:cs="Simplified Arabic"/>
              <w:lang w:val="en-GB"/>
            </w:rPr>
            <m:t xml:space="preserve">       [3]</m:t>
          </m:r>
        </m:oMath>
      </m:oMathPara>
    </w:p>
    <w:p w14:paraId="4F2C1673" w14:textId="77777777" w:rsidR="00587784" w:rsidRPr="00B67805" w:rsidRDefault="00587784" w:rsidP="00D6346F">
      <w:pPr>
        <w:spacing w:after="60" w:line="240" w:lineRule="atLeast"/>
        <w:ind w:firstLine="510"/>
        <w:rPr>
          <w:rFonts w:ascii="Palatino Linotype" w:hAnsi="Palatino Linotype" w:cs="Simplified Arabic"/>
          <w:lang w:val="en-GB"/>
        </w:rPr>
      </w:pPr>
      <w:r w:rsidRPr="00B67805">
        <w:rPr>
          <w:rFonts w:ascii="Palatino Linotype" w:hAnsi="Palatino Linotype" w:cs="Simplified Arabic"/>
          <w:lang w:val="en-GB"/>
        </w:rPr>
        <w:t xml:space="preserve">where p denotes the lag order of the dependent variable, UNEMP, while </w:t>
      </w:r>
      <m:oMath>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1</m:t>
            </m:r>
          </m:sub>
        </m:sSub>
      </m:oMath>
      <w:r w:rsidRPr="00B67805">
        <w:rPr>
          <w:rFonts w:ascii="Palatino Linotype" w:hAnsi="Palatino Linotype" w:cs="Simplified Arabic"/>
          <w:lang w:val="en-GB"/>
        </w:rPr>
        <w:t xml:space="preserve">, </w:t>
      </w:r>
      <m:oMath>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2</m:t>
            </m:r>
          </m:sub>
        </m:sSub>
      </m:oMath>
      <w:r w:rsidRPr="00B67805">
        <w:rPr>
          <w:rFonts w:ascii="Palatino Linotype" w:hAnsi="Palatino Linotype" w:cs="Simplified Arabic"/>
          <w:lang w:val="en-GB"/>
        </w:rPr>
        <w:t xml:space="preserve">, </w:t>
      </w:r>
      <m:oMath>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3</m:t>
            </m:r>
          </m:sub>
        </m:sSub>
      </m:oMath>
      <w:r w:rsidRPr="00B67805">
        <w:rPr>
          <w:rFonts w:ascii="Palatino Linotype" w:hAnsi="Palatino Linotype" w:cs="Simplified Arabic"/>
          <w:lang w:val="en-GB"/>
        </w:rPr>
        <w:t xml:space="preserve">, and </w:t>
      </w:r>
      <m:oMath>
        <m:sSub>
          <m:sSubPr>
            <m:ctrlPr>
              <w:rPr>
                <w:rFonts w:ascii="Cambria Math" w:hAnsi="Cambria Math" w:cs="Simplified Arabic"/>
                <w:i/>
                <w:lang w:val="en-GB"/>
              </w:rPr>
            </m:ctrlPr>
          </m:sSubPr>
          <m:e>
            <m:r>
              <w:rPr>
                <w:rFonts w:ascii="Cambria Math" w:hAnsi="Cambria Math" w:cs="Simplified Arabic"/>
                <w:lang w:val="en-GB"/>
              </w:rPr>
              <m:t>q</m:t>
            </m:r>
          </m:e>
          <m:sub>
            <m:r>
              <w:rPr>
                <w:rFonts w:ascii="Cambria Math" w:hAnsi="Cambria Math" w:cs="Simplified Arabic"/>
                <w:lang w:val="en-GB"/>
              </w:rPr>
              <m:t>4</m:t>
            </m:r>
          </m:sub>
        </m:sSub>
      </m:oMath>
      <w:r w:rsidRPr="00B67805">
        <w:rPr>
          <w:rFonts w:ascii="Palatino Linotype" w:hAnsi="Palatino Linotype" w:cs="Simplified Arabic"/>
          <w:lang w:val="en-GB"/>
        </w:rPr>
        <w:t xml:space="preserve"> denote the lag orders of GFCF, EDU, LBBND, and EDUBBNDC, respectively. The parameter </w:t>
      </w:r>
      <m:oMath>
        <m:sSub>
          <m:sSubPr>
            <m:ctrlPr>
              <w:rPr>
                <w:rFonts w:ascii="Cambria Math" w:hAnsi="Cambria Math" w:cs="Simplified Arabic"/>
                <w:i/>
                <w:lang w:val="en-GB"/>
              </w:rPr>
            </m:ctrlPr>
          </m:sSubPr>
          <m:e>
            <m:r>
              <w:rPr>
                <w:rFonts w:ascii="Cambria Math" w:hAnsi="Cambria Math" w:cs="Simplified Arabic"/>
                <w:lang w:val="en-GB"/>
              </w:rPr>
              <m:t>α</m:t>
            </m:r>
          </m:e>
          <m:sub>
            <m:r>
              <w:rPr>
                <w:rFonts w:ascii="Cambria Math" w:hAnsi="Cambria Math" w:cs="Simplified Arabic"/>
                <w:lang w:val="en-GB"/>
              </w:rPr>
              <m:t>0</m:t>
            </m:r>
          </m:sub>
        </m:sSub>
      </m:oMath>
      <w:r w:rsidRPr="00B67805">
        <w:rPr>
          <w:rFonts w:ascii="Palatino Linotype" w:hAnsi="Palatino Linotype" w:cs="Simplified Arabic"/>
          <w:lang w:val="en-GB"/>
        </w:rPr>
        <w:t xml:space="preserve"> represents the intercept, while </w:t>
      </w:r>
      <m:oMath>
        <m:sSub>
          <m:sSubPr>
            <m:ctrlPr>
              <w:rPr>
                <w:rFonts w:ascii="Cambria Math" w:hAnsi="Cambria Math" w:cs="Simplified Arabic"/>
                <w:i/>
                <w:lang w:val="en-GB"/>
              </w:rPr>
            </m:ctrlPr>
          </m:sSubPr>
          <m:e>
            <m:r>
              <w:rPr>
                <w:rFonts w:ascii="Cambria Math" w:hAnsi="Cambria Math" w:cs="Simplified Arabic"/>
                <w:lang w:val="en-GB"/>
              </w:rPr>
              <m:t>ε</m:t>
            </m:r>
          </m:e>
          <m:sub>
            <m:r>
              <w:rPr>
                <w:rFonts w:ascii="Cambria Math" w:hAnsi="Cambria Math" w:cs="Simplified Arabic"/>
                <w:lang w:val="en-GB"/>
              </w:rPr>
              <m:t>t</m:t>
            </m:r>
          </m:sub>
        </m:sSub>
      </m:oMath>
      <w:r w:rsidRPr="00B67805">
        <w:rPr>
          <w:rFonts w:ascii="Palatino Linotype" w:hAnsi="Palatino Linotype" w:cs="Simplified Arabic"/>
          <w:lang w:val="en-GB"/>
        </w:rPr>
        <w:t xml:space="preserve"> denotes the disturbance term. </w:t>
      </w:r>
      <m:oMath>
        <m:sSub>
          <m:sSubPr>
            <m:ctrlPr>
              <w:rPr>
                <w:rFonts w:ascii="Cambria Math" w:hAnsi="Cambria Math" w:cs="Simplified Arabic"/>
                <w:i/>
                <w:lang w:val="en-GB"/>
              </w:rPr>
            </m:ctrlPr>
          </m:sSubPr>
          <m:e>
            <m:r>
              <w:rPr>
                <w:rFonts w:ascii="Cambria Math" w:hAnsi="Cambria Math" w:cs="Simplified Arabic"/>
                <w:lang w:val="en-GB"/>
              </w:rPr>
              <m:t>DUM</m:t>
            </m:r>
          </m:e>
          <m:sub>
            <m:r>
              <w:rPr>
                <w:rFonts w:ascii="Cambria Math" w:hAnsi="Cambria Math" w:cs="Simplified Arabic"/>
                <w:lang w:val="en-GB"/>
              </w:rPr>
              <m:t>2011</m:t>
            </m:r>
          </m:sub>
        </m:sSub>
      </m:oMath>
      <w:r w:rsidRPr="00B67805">
        <w:rPr>
          <w:rFonts w:ascii="Palatino Linotype" w:hAnsi="Palatino Linotype" w:cs="Simplified Arabic"/>
          <w:lang w:val="en-GB"/>
        </w:rPr>
        <w:t xml:space="preserve"> is included as a fixed exogenous pulse dummy, taking the value one in 2011 and zero otherwise; accordingly, it is not assigned a dynamic lag structure. </w:t>
      </w:r>
      <w:r w:rsidRPr="00B67805">
        <w:rPr>
          <w:rFonts w:ascii="Palatino Linotype" w:hAnsi="Palatino Linotype" w:cs="Simplified Arabic"/>
          <w:lang w:val="en-GB" w:bidi="ar-EG"/>
        </w:rPr>
        <w:t>Given the limited number of annual observations, the lag structure is selected parsimoniously using the Schwarz Information Criterion (SIC). The SIC penalises additional parameters relatively heavily and therefore favours more parsimonious specifications, which is particularly desirable in the present context to conserve degrees of freedom and limit over-parameterisation (Schwarz, 1978; Pesaran &amp; Shin, 1999). The selected lag orders are subsequently used to derive the bounds-testing and error-correction representations of the model.</w:t>
      </w:r>
    </w:p>
    <w:p w14:paraId="69661350" w14:textId="77777777" w:rsidR="00587784" w:rsidRPr="00D6346F" w:rsidRDefault="00587784" w:rsidP="00D6346F">
      <w:pPr>
        <w:spacing w:after="60" w:line="240" w:lineRule="atLeast"/>
        <w:rPr>
          <w:rFonts w:ascii="Palatino Linotype" w:eastAsia="Times New Roman" w:hAnsi="Palatino Linotype" w:cs="Simplified Arabic"/>
          <w:b/>
          <w:bCs/>
          <w:sz w:val="22"/>
          <w:szCs w:val="22"/>
          <w:lang w:val="en-GB"/>
        </w:rPr>
      </w:pPr>
      <w:r w:rsidRPr="00D6346F">
        <w:rPr>
          <w:rFonts w:ascii="Palatino Linotype" w:eastAsia="Times New Roman" w:hAnsi="Palatino Linotype" w:cs="Simplified Arabic"/>
          <w:b/>
          <w:bCs/>
          <w:sz w:val="22"/>
          <w:szCs w:val="22"/>
          <w:lang w:val="en-GB"/>
        </w:rPr>
        <w:t>4.2.3  Bounds Testing for a Long-Run Level Relationship</w:t>
      </w:r>
    </w:p>
    <w:p w14:paraId="0BFFE697" w14:textId="77777777" w:rsidR="00587784" w:rsidRPr="00B67805" w:rsidRDefault="00587784" w:rsidP="00D6346F">
      <w:pPr>
        <w:spacing w:after="60" w:line="240" w:lineRule="atLeast"/>
        <w:ind w:firstLine="510"/>
        <w:rPr>
          <w:rFonts w:ascii="Palatino Linotype" w:hAnsi="Palatino Linotype" w:cs="Simplified Arabic"/>
          <w:sz w:val="18"/>
          <w:szCs w:val="18"/>
          <w:lang w:val="en-GB" w:bidi="ar-EG"/>
        </w:rPr>
      </w:pPr>
      <w:r w:rsidRPr="00B67805">
        <w:rPr>
          <w:rFonts w:ascii="Palatino Linotype" w:hAnsi="Palatino Linotype" w:cs="Simplified Arabic"/>
          <w:sz w:val="18"/>
          <w:szCs w:val="18"/>
          <w:lang w:val="en-GB" w:bidi="ar-EG"/>
        </w:rPr>
        <w:t>The existence of a long-run level relationship is examined using the bounds-testing procedure developed by Pesaran et al. (2001). The test is implemented under Case 3, which includes an unrestricted intercept but no deterministic time trend. For the bounds test, the ARDL model is reparameterised as a conditional unrestricted error-correction model (UECM), which separates short-run changes from the lagged levels that contain the information relevant to the long-run relationship:</w:t>
      </w:r>
    </w:p>
    <w:p w14:paraId="733DF25D" w14:textId="77777777" w:rsidR="00587784" w:rsidRPr="00B67805" w:rsidRDefault="00000000" w:rsidP="00D6346F">
      <w:pPr>
        <w:spacing w:after="60" w:line="240" w:lineRule="atLeast"/>
        <w:rPr>
          <w:rFonts w:ascii="Palatino Linotype" w:hAnsi="Palatino Linotype" w:cs="Simplified Arabic"/>
          <w:sz w:val="18"/>
          <w:szCs w:val="18"/>
          <w:lang w:val="en-GB" w:bidi="ar-EG"/>
        </w:rPr>
      </w:pPr>
      <m:oMathPara>
        <m:oMath>
          <m:m>
            <m:mPr>
              <m:plcHide m:val="1"/>
              <m:mcs>
                <m:mc>
                  <m:mcPr>
                    <m:count m:val="1"/>
                    <m:mcJc m:val="center"/>
                  </m:mcPr>
                </m:mc>
              </m:mcs>
              <m:ctrlPr>
                <w:rPr>
                  <w:rFonts w:ascii="Cambria Math" w:hAnsi="Cambria Math" w:cs="Simplified Arabic"/>
                  <w:sz w:val="18"/>
                  <w:szCs w:val="18"/>
                  <w:lang w:val="en-GB"/>
                </w:rPr>
              </m:ctrlPr>
            </m:mPr>
            <m:mr>
              <m:e>
                <m:r>
                  <w:rPr>
                    <w:rFonts w:ascii="Cambria Math" w:hAnsi="Cambria Math" w:cs="Simplified Arabic"/>
                    <w:sz w:val="18"/>
                    <w:szCs w:val="18"/>
                    <w:lang w:val="en-GB"/>
                  </w:rPr>
                  <m:t>ΔUNEM</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P</m:t>
                    </m:r>
                  </m:e>
                  <m:sub>
                    <m:r>
                      <w:rPr>
                        <w:rFonts w:ascii="Cambria Math" w:hAnsi="Cambria Math" w:cs="Simplified Arabic"/>
                        <w:sz w:val="18"/>
                        <w:szCs w:val="18"/>
                        <w:lang w:val="en-GB"/>
                      </w:rPr>
                      <m:t>t</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c</m:t>
                    </m:r>
                  </m:e>
                  <m:sub>
                    <m:r>
                      <w:rPr>
                        <w:rFonts w:ascii="Cambria Math" w:hAnsi="Cambria Math" w:cs="Simplified Arabic"/>
                        <w:sz w:val="18"/>
                        <w:szCs w:val="18"/>
                        <w:lang w:val="en-GB"/>
                      </w:rPr>
                      <m:t>0</m:t>
                    </m:r>
                  </m:sub>
                </m:sSub>
                <m:r>
                  <m:rPr>
                    <m:sty m:val="p"/>
                  </m:rPr>
                  <w:rPr>
                    <w:rFonts w:ascii="Cambria Math" w:hAnsi="Cambria Math" w:cs="Simplified Arabic"/>
                    <w:sz w:val="18"/>
                    <w:szCs w:val="18"/>
                    <w:lang w:val="en-GB"/>
                  </w:rPr>
                  <m:t>+</m:t>
                </m:r>
                <m:nary>
                  <m:naryPr>
                    <m:chr m:val="∑"/>
                    <m:limLoc m:val="undOvr"/>
                    <m:ctrlPr>
                      <w:rPr>
                        <w:rFonts w:ascii="Cambria Math" w:hAnsi="Cambria Math" w:cs="Simplified Arabic"/>
                        <w:sz w:val="18"/>
                        <w:szCs w:val="18"/>
                        <w:lang w:val="en-GB"/>
                      </w:rPr>
                    </m:ctrlPr>
                  </m:naryPr>
                  <m:sub>
                    <m:r>
                      <w:rPr>
                        <w:rFonts w:ascii="Cambria Math" w:hAnsi="Cambria Math" w:cs="Simplified Arabic"/>
                        <w:sz w:val="18"/>
                        <w:szCs w:val="18"/>
                        <w:lang w:val="en-GB"/>
                      </w:rPr>
                      <m:t>i</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up>
                    <m:r>
                      <w:rPr>
                        <w:rFonts w:ascii="Cambria Math" w:hAnsi="Cambria Math" w:cs="Simplified Arabic"/>
                        <w:sz w:val="18"/>
                        <w:szCs w:val="18"/>
                        <w:lang w:val="en-GB"/>
                      </w:rPr>
                      <m:t>p</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p>
                  <m:e>
                    <m:sSub>
                      <m:sSubPr>
                        <m:ctrlPr>
                          <w:rPr>
                            <w:rFonts w:ascii="Cambria Math" w:hAnsi="Cambria Math" w:cs="Simplified Arabic"/>
                            <w:sz w:val="18"/>
                            <w:szCs w:val="18"/>
                            <w:lang w:val="en-GB"/>
                          </w:rPr>
                        </m:ctrlPr>
                      </m:sSubPr>
                      <m:e>
                        <m:r>
                          <w:rPr>
                            <w:rFonts w:ascii="Cambria Math" w:hAnsi="Cambria Math" w:cs="Simplified Arabic"/>
                            <w:sz w:val="18"/>
                            <w:szCs w:val="18"/>
                            <w:lang w:val="en-GB"/>
                          </w:rPr>
                          <m:t>λ</m:t>
                        </m:r>
                      </m:e>
                      <m:sub>
                        <m:r>
                          <w:rPr>
                            <w:rFonts w:ascii="Cambria Math" w:hAnsi="Cambria Math" w:cs="Simplified Arabic"/>
                            <w:sz w:val="18"/>
                            <w:szCs w:val="18"/>
                            <w:lang w:val="en-GB"/>
                          </w:rPr>
                          <m:t>i</m:t>
                        </m:r>
                      </m:sub>
                    </m:sSub>
                  </m:e>
                </m:nary>
                <m:r>
                  <w:rPr>
                    <w:rFonts w:ascii="Cambria Math" w:hAnsi="Cambria Math" w:cs="Simplified Arabic"/>
                    <w:sz w:val="18"/>
                    <w:szCs w:val="18"/>
                    <w:lang w:val="en-GB"/>
                  </w:rPr>
                  <m:t>ΔUNEM</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P</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i</m:t>
                    </m:r>
                  </m:sub>
                </m:sSub>
                <m:r>
                  <m:rPr>
                    <m:sty m:val="p"/>
                  </m:rPr>
                  <w:rPr>
                    <w:rFonts w:ascii="Cambria Math" w:hAnsi="Cambria Math" w:cs="Simplified Arabic"/>
                    <w:sz w:val="18"/>
                    <w:szCs w:val="18"/>
                    <w:lang w:val="en-GB"/>
                  </w:rPr>
                  <m:t>+</m:t>
                </m:r>
                <m:nary>
                  <m:naryPr>
                    <m:chr m:val="∑"/>
                    <m:limLoc m:val="undOvr"/>
                    <m:ctrlPr>
                      <w:rPr>
                        <w:rFonts w:ascii="Cambria Math" w:hAnsi="Cambria Math" w:cs="Simplified Arabic"/>
                        <w:sz w:val="18"/>
                        <w:szCs w:val="18"/>
                        <w:lang w:val="en-GB"/>
                      </w:rPr>
                    </m:ctrlPr>
                  </m:naryPr>
                  <m:sub>
                    <m:r>
                      <w:rPr>
                        <w:rFonts w:ascii="Cambria Math" w:hAnsi="Cambria Math" w:cs="Simplified Arabic"/>
                        <w:sz w:val="18"/>
                        <w:szCs w:val="18"/>
                        <w:lang w:val="en-GB"/>
                      </w:rPr>
                      <m:t>j</m:t>
                    </m:r>
                    <m:r>
                      <m:rPr>
                        <m:sty m:val="p"/>
                      </m:rPr>
                      <w:rPr>
                        <w:rFonts w:ascii="Cambria Math" w:hAnsi="Cambria Math" w:cs="Simplified Arabic"/>
                        <w:sz w:val="18"/>
                        <w:szCs w:val="18"/>
                        <w:lang w:val="en-GB"/>
                      </w:rPr>
                      <m:t>=</m:t>
                    </m:r>
                    <m:r>
                      <w:rPr>
                        <w:rFonts w:ascii="Cambria Math" w:hAnsi="Cambria Math" w:cs="Simplified Arabic"/>
                        <w:sz w:val="18"/>
                        <w:szCs w:val="18"/>
                        <w:lang w:val="en-GB"/>
                      </w:rPr>
                      <m:t>0</m:t>
                    </m:r>
                  </m:sub>
                  <m:sup>
                    <m:sSub>
                      <m:sSubPr>
                        <m:ctrlPr>
                          <w:rPr>
                            <w:rFonts w:ascii="Cambria Math" w:hAnsi="Cambria Math" w:cs="Simplified Arabic"/>
                            <w:sz w:val="18"/>
                            <w:szCs w:val="18"/>
                            <w:lang w:val="en-GB"/>
                          </w:rPr>
                        </m:ctrlPr>
                      </m:sSubPr>
                      <m:e>
                        <m:r>
                          <w:rPr>
                            <w:rFonts w:ascii="Cambria Math" w:hAnsi="Cambria Math" w:cs="Simplified Arabic"/>
                            <w:sz w:val="18"/>
                            <w:szCs w:val="18"/>
                            <w:lang w:val="en-GB"/>
                          </w:rPr>
                          <m:t>q</m:t>
                        </m:r>
                      </m:e>
                      <m:sub>
                        <m:r>
                          <w:rPr>
                            <w:rFonts w:ascii="Cambria Math" w:hAnsi="Cambria Math" w:cs="Simplified Arabic"/>
                            <w:sz w:val="18"/>
                            <w:szCs w:val="18"/>
                            <w:lang w:val="en-GB"/>
                          </w:rPr>
                          <m:t>1</m:t>
                        </m:r>
                      </m:sub>
                    </m:sSub>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p>
                  <m:e>
                    <m:sSubSup>
                      <m:sSubSupPr>
                        <m:ctrlPr>
                          <w:rPr>
                            <w:rFonts w:ascii="Cambria Math" w:hAnsi="Cambria Math" w:cs="Simplified Arabic"/>
                            <w:sz w:val="18"/>
                            <w:szCs w:val="18"/>
                            <w:lang w:val="en-GB"/>
                          </w:rPr>
                        </m:ctrlPr>
                      </m:sSubSupPr>
                      <m:e>
                        <m:r>
                          <w:rPr>
                            <w:rFonts w:ascii="Cambria Math" w:hAnsi="Cambria Math" w:cs="Simplified Arabic"/>
                            <w:sz w:val="18"/>
                            <w:szCs w:val="18"/>
                            <w:lang w:val="en-GB"/>
                          </w:rPr>
                          <m:t>β</m:t>
                        </m:r>
                      </m:e>
                      <m:sub>
                        <m:r>
                          <w:rPr>
                            <w:rFonts w:ascii="Cambria Math" w:hAnsi="Cambria Math" w:cs="Simplified Arabic"/>
                            <w:sz w:val="18"/>
                            <w:szCs w:val="18"/>
                            <w:lang w:val="en-GB"/>
                          </w:rPr>
                          <m:t>j</m:t>
                        </m:r>
                      </m:sub>
                      <m:sup>
                        <m:r>
                          <m:rPr>
                            <m:sty m:val="p"/>
                          </m:rPr>
                          <w:rPr>
                            <w:rFonts w:ascii="Cambria Math" w:hAnsi="Cambria Math" w:cs="Simplified Arabic"/>
                            <w:sz w:val="18"/>
                            <w:szCs w:val="18"/>
                            <w:lang w:val="en-GB"/>
                          </w:rPr>
                          <m:t>*</m:t>
                        </m:r>
                      </m:sup>
                    </m:sSubSup>
                  </m:e>
                </m:nary>
                <m:r>
                  <w:rPr>
                    <w:rFonts w:ascii="Cambria Math" w:hAnsi="Cambria Math" w:cs="Simplified Arabic"/>
                    <w:sz w:val="18"/>
                    <w:szCs w:val="18"/>
                    <w:lang w:val="en-GB"/>
                  </w:rPr>
                  <m:t>ΔGFC</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F</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j</m:t>
                    </m:r>
                  </m:sub>
                </m:sSub>
                <m:r>
                  <m:rPr>
                    <m:sty m:val="p"/>
                  </m:rPr>
                  <w:rPr>
                    <w:rFonts w:ascii="Cambria Math" w:hAnsi="Cambria Math" w:cs="Simplified Arabic"/>
                    <w:sz w:val="18"/>
                    <w:szCs w:val="18"/>
                    <w:lang w:val="en-GB"/>
                  </w:rPr>
                  <m:t>+</m:t>
                </m:r>
                <m:nary>
                  <m:naryPr>
                    <m:chr m:val="∑"/>
                    <m:limLoc m:val="undOvr"/>
                    <m:ctrlPr>
                      <w:rPr>
                        <w:rFonts w:ascii="Cambria Math" w:hAnsi="Cambria Math" w:cs="Simplified Arabic"/>
                        <w:sz w:val="18"/>
                        <w:szCs w:val="18"/>
                        <w:lang w:val="en-GB"/>
                      </w:rPr>
                    </m:ctrlPr>
                  </m:naryPr>
                  <m:sub>
                    <m:r>
                      <w:rPr>
                        <w:rFonts w:ascii="Cambria Math" w:hAnsi="Cambria Math" w:cs="Simplified Arabic"/>
                        <w:sz w:val="18"/>
                        <w:szCs w:val="18"/>
                        <w:lang w:val="en-GB"/>
                      </w:rPr>
                      <m:t>j</m:t>
                    </m:r>
                    <m:r>
                      <m:rPr>
                        <m:sty m:val="p"/>
                      </m:rPr>
                      <w:rPr>
                        <w:rFonts w:ascii="Cambria Math" w:hAnsi="Cambria Math" w:cs="Simplified Arabic"/>
                        <w:sz w:val="18"/>
                        <w:szCs w:val="18"/>
                        <w:lang w:val="en-GB"/>
                      </w:rPr>
                      <m:t>=</m:t>
                    </m:r>
                    <m:r>
                      <w:rPr>
                        <w:rFonts w:ascii="Cambria Math" w:hAnsi="Cambria Math" w:cs="Simplified Arabic"/>
                        <w:sz w:val="18"/>
                        <w:szCs w:val="18"/>
                        <w:lang w:val="en-GB"/>
                      </w:rPr>
                      <m:t>0</m:t>
                    </m:r>
                  </m:sub>
                  <m:sup>
                    <m:sSub>
                      <m:sSubPr>
                        <m:ctrlPr>
                          <w:rPr>
                            <w:rFonts w:ascii="Cambria Math" w:hAnsi="Cambria Math" w:cs="Simplified Arabic"/>
                            <w:sz w:val="18"/>
                            <w:szCs w:val="18"/>
                            <w:lang w:val="en-GB"/>
                          </w:rPr>
                        </m:ctrlPr>
                      </m:sSubPr>
                      <m:e>
                        <m:r>
                          <w:rPr>
                            <w:rFonts w:ascii="Cambria Math" w:hAnsi="Cambria Math" w:cs="Simplified Arabic"/>
                            <w:sz w:val="18"/>
                            <w:szCs w:val="18"/>
                            <w:lang w:val="en-GB"/>
                          </w:rPr>
                          <m:t>q</m:t>
                        </m:r>
                      </m:e>
                      <m:sub>
                        <m:r>
                          <w:rPr>
                            <w:rFonts w:ascii="Cambria Math" w:hAnsi="Cambria Math" w:cs="Simplified Arabic"/>
                            <w:sz w:val="18"/>
                            <w:szCs w:val="18"/>
                            <w:lang w:val="en-GB"/>
                          </w:rPr>
                          <m:t>2</m:t>
                        </m:r>
                      </m:sub>
                    </m:sSub>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p>
                  <m:e>
                    <m:sSubSup>
                      <m:sSubSupPr>
                        <m:ctrlPr>
                          <w:rPr>
                            <w:rFonts w:ascii="Cambria Math" w:hAnsi="Cambria Math" w:cs="Simplified Arabic"/>
                            <w:sz w:val="18"/>
                            <w:szCs w:val="18"/>
                            <w:lang w:val="en-GB"/>
                          </w:rPr>
                        </m:ctrlPr>
                      </m:sSubSupPr>
                      <m:e>
                        <m:r>
                          <w:rPr>
                            <w:rFonts w:ascii="Cambria Math" w:hAnsi="Cambria Math" w:cs="Simplified Arabic"/>
                            <w:sz w:val="18"/>
                            <w:szCs w:val="18"/>
                            <w:lang w:val="en-GB"/>
                          </w:rPr>
                          <m:t>γ</m:t>
                        </m:r>
                      </m:e>
                      <m:sub>
                        <m:r>
                          <w:rPr>
                            <w:rFonts w:ascii="Cambria Math" w:hAnsi="Cambria Math" w:cs="Simplified Arabic"/>
                            <w:sz w:val="18"/>
                            <w:szCs w:val="18"/>
                            <w:lang w:val="en-GB"/>
                          </w:rPr>
                          <m:t>j</m:t>
                        </m:r>
                      </m:sub>
                      <m:sup>
                        <m:r>
                          <m:rPr>
                            <m:sty m:val="p"/>
                          </m:rPr>
                          <w:rPr>
                            <w:rFonts w:ascii="Cambria Math" w:hAnsi="Cambria Math" w:cs="Simplified Arabic"/>
                            <w:sz w:val="18"/>
                            <w:szCs w:val="18"/>
                            <w:lang w:val="en-GB"/>
                          </w:rPr>
                          <m:t>*</m:t>
                        </m:r>
                      </m:sup>
                    </m:sSubSup>
                  </m:e>
                </m:nary>
                <m:r>
                  <w:rPr>
                    <w:rFonts w:ascii="Cambria Math" w:hAnsi="Cambria Math" w:cs="Simplified Arabic"/>
                    <w:sz w:val="18"/>
                    <w:szCs w:val="18"/>
                    <w:lang w:val="en-GB"/>
                  </w:rPr>
                  <m:t>ΔED</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U</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j</m:t>
                    </m:r>
                  </m:sub>
                </m:sSub>
              </m:e>
            </m:mr>
            <m:mr>
              <m:e>
                <m:r>
                  <m:rPr>
                    <m:sty m:val="p"/>
                  </m:rPr>
                  <w:rPr>
                    <w:rFonts w:ascii="Cambria Math" w:hAnsi="Cambria Math" w:cs="Simplified Arabic"/>
                    <w:sz w:val="18"/>
                    <w:szCs w:val="18"/>
                    <w:lang w:val="en-GB"/>
                  </w:rPr>
                  <m:t>+</m:t>
                </m:r>
                <m:nary>
                  <m:naryPr>
                    <m:chr m:val="∑"/>
                    <m:limLoc m:val="undOvr"/>
                    <m:ctrlPr>
                      <w:rPr>
                        <w:rFonts w:ascii="Cambria Math" w:hAnsi="Cambria Math" w:cs="Simplified Arabic"/>
                        <w:sz w:val="18"/>
                        <w:szCs w:val="18"/>
                        <w:lang w:val="en-GB"/>
                      </w:rPr>
                    </m:ctrlPr>
                  </m:naryPr>
                  <m:sub>
                    <m:r>
                      <w:rPr>
                        <w:rFonts w:ascii="Cambria Math" w:hAnsi="Cambria Math" w:cs="Simplified Arabic"/>
                        <w:sz w:val="18"/>
                        <w:szCs w:val="18"/>
                        <w:lang w:val="en-GB"/>
                      </w:rPr>
                      <m:t>j</m:t>
                    </m:r>
                    <m:r>
                      <m:rPr>
                        <m:sty m:val="p"/>
                      </m:rPr>
                      <w:rPr>
                        <w:rFonts w:ascii="Cambria Math" w:hAnsi="Cambria Math" w:cs="Simplified Arabic"/>
                        <w:sz w:val="18"/>
                        <w:szCs w:val="18"/>
                        <w:lang w:val="en-GB"/>
                      </w:rPr>
                      <m:t>=</m:t>
                    </m:r>
                    <m:r>
                      <w:rPr>
                        <w:rFonts w:ascii="Cambria Math" w:hAnsi="Cambria Math" w:cs="Simplified Arabic"/>
                        <w:sz w:val="18"/>
                        <w:szCs w:val="18"/>
                        <w:lang w:val="en-GB"/>
                      </w:rPr>
                      <m:t>0</m:t>
                    </m:r>
                  </m:sub>
                  <m:sup>
                    <m:sSub>
                      <m:sSubPr>
                        <m:ctrlPr>
                          <w:rPr>
                            <w:rFonts w:ascii="Cambria Math" w:hAnsi="Cambria Math" w:cs="Simplified Arabic"/>
                            <w:sz w:val="18"/>
                            <w:szCs w:val="18"/>
                            <w:lang w:val="en-GB"/>
                          </w:rPr>
                        </m:ctrlPr>
                      </m:sSubPr>
                      <m:e>
                        <m:r>
                          <w:rPr>
                            <w:rFonts w:ascii="Cambria Math" w:hAnsi="Cambria Math" w:cs="Simplified Arabic"/>
                            <w:sz w:val="18"/>
                            <w:szCs w:val="18"/>
                            <w:lang w:val="en-GB"/>
                          </w:rPr>
                          <m:t>q</m:t>
                        </m:r>
                      </m:e>
                      <m:sub>
                        <m:r>
                          <w:rPr>
                            <w:rFonts w:ascii="Cambria Math" w:hAnsi="Cambria Math" w:cs="Simplified Arabic"/>
                            <w:sz w:val="18"/>
                            <w:szCs w:val="18"/>
                            <w:lang w:val="en-GB"/>
                          </w:rPr>
                          <m:t>3</m:t>
                        </m:r>
                      </m:sub>
                    </m:sSub>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p>
                  <m:e>
                    <m:sSubSup>
                      <m:sSubSupPr>
                        <m:ctrlPr>
                          <w:rPr>
                            <w:rFonts w:ascii="Cambria Math" w:hAnsi="Cambria Math" w:cs="Simplified Arabic"/>
                            <w:sz w:val="18"/>
                            <w:szCs w:val="18"/>
                            <w:lang w:val="en-GB"/>
                          </w:rPr>
                        </m:ctrlPr>
                      </m:sSubSupPr>
                      <m:e>
                        <m:r>
                          <w:rPr>
                            <w:rFonts w:ascii="Cambria Math" w:hAnsi="Cambria Math" w:cs="Simplified Arabic"/>
                            <w:sz w:val="18"/>
                            <w:szCs w:val="18"/>
                            <w:lang w:val="en-GB"/>
                          </w:rPr>
                          <m:t>δ</m:t>
                        </m:r>
                      </m:e>
                      <m:sub>
                        <m:r>
                          <w:rPr>
                            <w:rFonts w:ascii="Cambria Math" w:hAnsi="Cambria Math" w:cs="Simplified Arabic"/>
                            <w:sz w:val="18"/>
                            <w:szCs w:val="18"/>
                            <w:lang w:val="en-GB"/>
                          </w:rPr>
                          <m:t>j</m:t>
                        </m:r>
                      </m:sub>
                      <m:sup>
                        <m:r>
                          <m:rPr>
                            <m:sty m:val="p"/>
                          </m:rPr>
                          <w:rPr>
                            <w:rFonts w:ascii="Cambria Math" w:hAnsi="Cambria Math" w:cs="Simplified Arabic"/>
                            <w:sz w:val="18"/>
                            <w:szCs w:val="18"/>
                            <w:lang w:val="en-GB"/>
                          </w:rPr>
                          <m:t>*</m:t>
                        </m:r>
                      </m:sup>
                    </m:sSubSup>
                  </m:e>
                </m:nary>
                <m:r>
                  <w:rPr>
                    <w:rFonts w:ascii="Cambria Math" w:hAnsi="Cambria Math" w:cs="Simplified Arabic"/>
                    <w:sz w:val="18"/>
                    <w:szCs w:val="18"/>
                    <w:lang w:val="en-GB"/>
                  </w:rPr>
                  <m:t>ΔLBBN</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D</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j</m:t>
                    </m:r>
                  </m:sub>
                </m:sSub>
                <m:r>
                  <m:rPr>
                    <m:sty m:val="p"/>
                  </m:rPr>
                  <w:rPr>
                    <w:rFonts w:ascii="Cambria Math" w:hAnsi="Cambria Math" w:cs="Simplified Arabic"/>
                    <w:sz w:val="18"/>
                    <w:szCs w:val="18"/>
                    <w:lang w:val="en-GB"/>
                  </w:rPr>
                  <m:t>+</m:t>
                </m:r>
                <m:nary>
                  <m:naryPr>
                    <m:chr m:val="∑"/>
                    <m:limLoc m:val="undOvr"/>
                    <m:ctrlPr>
                      <w:rPr>
                        <w:rFonts w:ascii="Cambria Math" w:hAnsi="Cambria Math" w:cs="Simplified Arabic"/>
                        <w:sz w:val="18"/>
                        <w:szCs w:val="18"/>
                        <w:lang w:val="en-GB"/>
                      </w:rPr>
                    </m:ctrlPr>
                  </m:naryPr>
                  <m:sub>
                    <m:r>
                      <w:rPr>
                        <w:rFonts w:ascii="Cambria Math" w:hAnsi="Cambria Math" w:cs="Simplified Arabic"/>
                        <w:sz w:val="18"/>
                        <w:szCs w:val="18"/>
                        <w:lang w:val="en-GB"/>
                      </w:rPr>
                      <m:t>j</m:t>
                    </m:r>
                    <m:r>
                      <m:rPr>
                        <m:sty m:val="p"/>
                      </m:rPr>
                      <w:rPr>
                        <w:rFonts w:ascii="Cambria Math" w:hAnsi="Cambria Math" w:cs="Simplified Arabic"/>
                        <w:sz w:val="18"/>
                        <w:szCs w:val="18"/>
                        <w:lang w:val="en-GB"/>
                      </w:rPr>
                      <m:t>=</m:t>
                    </m:r>
                    <m:r>
                      <w:rPr>
                        <w:rFonts w:ascii="Cambria Math" w:hAnsi="Cambria Math" w:cs="Simplified Arabic"/>
                        <w:sz w:val="18"/>
                        <w:szCs w:val="18"/>
                        <w:lang w:val="en-GB"/>
                      </w:rPr>
                      <m:t>0</m:t>
                    </m:r>
                  </m:sub>
                  <m:sup>
                    <m:sSub>
                      <m:sSubPr>
                        <m:ctrlPr>
                          <w:rPr>
                            <w:rFonts w:ascii="Cambria Math" w:hAnsi="Cambria Math" w:cs="Simplified Arabic"/>
                            <w:sz w:val="18"/>
                            <w:szCs w:val="18"/>
                            <w:lang w:val="en-GB"/>
                          </w:rPr>
                        </m:ctrlPr>
                      </m:sSubPr>
                      <m:e>
                        <m:r>
                          <w:rPr>
                            <w:rFonts w:ascii="Cambria Math" w:hAnsi="Cambria Math" w:cs="Simplified Arabic"/>
                            <w:sz w:val="18"/>
                            <w:szCs w:val="18"/>
                            <w:lang w:val="en-GB"/>
                          </w:rPr>
                          <m:t>q</m:t>
                        </m:r>
                      </m:e>
                      <m:sub>
                        <m:r>
                          <w:rPr>
                            <w:rFonts w:ascii="Cambria Math" w:hAnsi="Cambria Math" w:cs="Simplified Arabic"/>
                            <w:sz w:val="18"/>
                            <w:szCs w:val="18"/>
                            <w:lang w:val="en-GB"/>
                          </w:rPr>
                          <m:t>4</m:t>
                        </m:r>
                      </m:sub>
                    </m:sSub>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p>
                  <m:e>
                    <m:sSubSup>
                      <m:sSubSupPr>
                        <m:ctrlPr>
                          <w:rPr>
                            <w:rFonts w:ascii="Cambria Math" w:hAnsi="Cambria Math" w:cs="Simplified Arabic"/>
                            <w:sz w:val="18"/>
                            <w:szCs w:val="18"/>
                            <w:lang w:val="en-GB"/>
                          </w:rPr>
                        </m:ctrlPr>
                      </m:sSubSupPr>
                      <m:e>
                        <m:r>
                          <w:rPr>
                            <w:rFonts w:ascii="Cambria Math" w:hAnsi="Cambria Math" w:cs="Simplified Arabic"/>
                            <w:sz w:val="18"/>
                            <w:szCs w:val="18"/>
                            <w:lang w:val="en-GB"/>
                          </w:rPr>
                          <m:t>θ</m:t>
                        </m:r>
                      </m:e>
                      <m:sub>
                        <m:r>
                          <w:rPr>
                            <w:rFonts w:ascii="Cambria Math" w:hAnsi="Cambria Math" w:cs="Simplified Arabic"/>
                            <w:sz w:val="18"/>
                            <w:szCs w:val="18"/>
                            <w:lang w:val="en-GB"/>
                          </w:rPr>
                          <m:t>j</m:t>
                        </m:r>
                      </m:sub>
                      <m:sup>
                        <m:r>
                          <m:rPr>
                            <m:sty m:val="p"/>
                          </m:rPr>
                          <w:rPr>
                            <w:rFonts w:ascii="Cambria Math" w:hAnsi="Cambria Math" w:cs="Simplified Arabic"/>
                            <w:sz w:val="18"/>
                            <w:szCs w:val="18"/>
                            <w:lang w:val="en-GB"/>
                          </w:rPr>
                          <m:t>*</m:t>
                        </m:r>
                      </m:sup>
                    </m:sSubSup>
                  </m:e>
                </m:nary>
                <m:r>
                  <w:rPr>
                    <w:rFonts w:ascii="Cambria Math" w:hAnsi="Cambria Math" w:cs="Simplified Arabic"/>
                    <w:sz w:val="18"/>
                    <w:szCs w:val="18"/>
                    <w:lang w:val="en-GB"/>
                  </w:rPr>
                  <m:t>ΔEDUBBN</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D</m:t>
                    </m:r>
                  </m:e>
                  <m:sub>
                    <m:r>
                      <w:rPr>
                        <w:rFonts w:ascii="Cambria Math" w:hAnsi="Cambria Math" w:cs="Simplified Arabic"/>
                        <w:sz w:val="18"/>
                        <w:szCs w:val="18"/>
                        <w:lang w:val="en-GB"/>
                      </w:rPr>
                      <m:t>C</m:t>
                    </m:r>
                    <m:r>
                      <m:rPr>
                        <m:sty m:val="p"/>
                      </m:rPr>
                      <w:rPr>
                        <w:rFonts w:ascii="Cambria Math" w:hAnsi="Cambria Math" w:cs="Simplified Arabic"/>
                        <w:sz w:val="18"/>
                        <w:szCs w:val="18"/>
                        <w:lang w:val="en-GB"/>
                      </w:rPr>
                      <m:t>,</m:t>
                    </m:r>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j</m:t>
                    </m:r>
                  </m:sub>
                </m:sSub>
              </m:e>
            </m:mr>
            <m:mr>
              <m:e>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ϕ</m:t>
                    </m:r>
                  </m:e>
                  <m:sub>
                    <m:r>
                      <w:rPr>
                        <w:rFonts w:ascii="Cambria Math" w:hAnsi="Cambria Math" w:cs="Simplified Arabic"/>
                        <w:sz w:val="18"/>
                        <w:szCs w:val="18"/>
                        <w:lang w:val="en-GB"/>
                      </w:rPr>
                      <m:t>1</m:t>
                    </m:r>
                  </m:sub>
                </m:sSub>
                <m:r>
                  <w:rPr>
                    <w:rFonts w:ascii="Cambria Math" w:hAnsi="Cambria Math" w:cs="Simplified Arabic"/>
                    <w:sz w:val="18"/>
                    <w:szCs w:val="18"/>
                    <w:lang w:val="en-GB"/>
                  </w:rPr>
                  <m:t>UNEM</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P</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ϕ</m:t>
                    </m:r>
                  </m:e>
                  <m:sub>
                    <m:r>
                      <w:rPr>
                        <w:rFonts w:ascii="Cambria Math" w:hAnsi="Cambria Math" w:cs="Simplified Arabic"/>
                        <w:sz w:val="18"/>
                        <w:szCs w:val="18"/>
                        <w:lang w:val="en-GB"/>
                      </w:rPr>
                      <m:t>2</m:t>
                    </m:r>
                  </m:sub>
                </m:sSub>
                <m:r>
                  <w:rPr>
                    <w:rFonts w:ascii="Cambria Math" w:hAnsi="Cambria Math" w:cs="Simplified Arabic"/>
                    <w:sz w:val="18"/>
                    <w:szCs w:val="18"/>
                    <w:lang w:val="en-GB"/>
                  </w:rPr>
                  <m:t>GFC</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F</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ϕ</m:t>
                    </m:r>
                  </m:e>
                  <m:sub>
                    <m:r>
                      <w:rPr>
                        <w:rFonts w:ascii="Cambria Math" w:hAnsi="Cambria Math" w:cs="Simplified Arabic"/>
                        <w:sz w:val="18"/>
                        <w:szCs w:val="18"/>
                        <w:lang w:val="en-GB"/>
                      </w:rPr>
                      <m:t>3</m:t>
                    </m:r>
                  </m:sub>
                </m:sSub>
                <m:r>
                  <w:rPr>
                    <w:rFonts w:ascii="Cambria Math" w:hAnsi="Cambria Math" w:cs="Simplified Arabic"/>
                    <w:sz w:val="18"/>
                    <w:szCs w:val="18"/>
                    <w:lang w:val="en-GB"/>
                  </w:rPr>
                  <m:t>ED</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U</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ϕ</m:t>
                    </m:r>
                  </m:e>
                  <m:sub>
                    <m:r>
                      <w:rPr>
                        <w:rFonts w:ascii="Cambria Math" w:hAnsi="Cambria Math" w:cs="Simplified Arabic"/>
                        <w:sz w:val="18"/>
                        <w:szCs w:val="18"/>
                        <w:lang w:val="en-GB"/>
                      </w:rPr>
                      <m:t>4</m:t>
                    </m:r>
                  </m:sub>
                </m:sSub>
                <m:r>
                  <w:rPr>
                    <w:rFonts w:ascii="Cambria Math" w:hAnsi="Cambria Math" w:cs="Simplified Arabic"/>
                    <w:sz w:val="18"/>
                    <w:szCs w:val="18"/>
                    <w:lang w:val="en-GB"/>
                  </w:rPr>
                  <m:t>LBBN</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D</m:t>
                    </m:r>
                  </m:e>
                  <m:sub>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ϕ</m:t>
                    </m:r>
                  </m:e>
                  <m:sub>
                    <m:r>
                      <w:rPr>
                        <w:rFonts w:ascii="Cambria Math" w:hAnsi="Cambria Math" w:cs="Simplified Arabic"/>
                        <w:sz w:val="18"/>
                        <w:szCs w:val="18"/>
                        <w:lang w:val="en-GB"/>
                      </w:rPr>
                      <m:t>5</m:t>
                    </m:r>
                  </m:sub>
                </m:sSub>
                <m:r>
                  <w:rPr>
                    <w:rFonts w:ascii="Cambria Math" w:hAnsi="Cambria Math" w:cs="Simplified Arabic"/>
                    <w:sz w:val="18"/>
                    <w:szCs w:val="18"/>
                    <w:lang w:val="en-GB"/>
                  </w:rPr>
                  <m:t>EDUBBN</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D</m:t>
                    </m:r>
                  </m:e>
                  <m:sub>
                    <m:r>
                      <w:rPr>
                        <w:rFonts w:ascii="Cambria Math" w:hAnsi="Cambria Math" w:cs="Simplified Arabic"/>
                        <w:sz w:val="18"/>
                        <w:szCs w:val="18"/>
                        <w:lang w:val="en-GB"/>
                      </w:rPr>
                      <m:t>C</m:t>
                    </m:r>
                    <m:r>
                      <m:rPr>
                        <m:sty m:val="p"/>
                      </m:rPr>
                      <w:rPr>
                        <w:rFonts w:ascii="Cambria Math" w:hAnsi="Cambria Math" w:cs="Simplified Arabic"/>
                        <w:sz w:val="18"/>
                        <w:szCs w:val="18"/>
                        <w:lang w:val="en-GB"/>
                      </w:rPr>
                      <m:t>,</m:t>
                    </m:r>
                    <m:r>
                      <w:rPr>
                        <w:rFonts w:ascii="Cambria Math" w:hAnsi="Cambria Math" w:cs="Simplified Arabic"/>
                        <w:sz w:val="18"/>
                        <w:szCs w:val="18"/>
                        <w:lang w:val="en-GB"/>
                      </w:rPr>
                      <m:t>t</m:t>
                    </m:r>
                    <m:r>
                      <m:rPr>
                        <m:sty m:val="p"/>
                      </m:rPr>
                      <w:rPr>
                        <w:rFonts w:ascii="Cambria Math" w:hAnsi="Cambria Math" w:cs="Simplified Arabic"/>
                        <w:sz w:val="18"/>
                        <w:szCs w:val="18"/>
                        <w:lang w:val="en-GB"/>
                      </w:rPr>
                      <m:t>-</m:t>
                    </m:r>
                    <m:r>
                      <w:rPr>
                        <w:rFonts w:ascii="Cambria Math" w:hAnsi="Cambria Math" w:cs="Simplified Arabic"/>
                        <w:sz w:val="18"/>
                        <w:szCs w:val="18"/>
                        <w:lang w:val="en-GB"/>
                      </w:rPr>
                      <m:t>1</m:t>
                    </m:r>
                  </m:sub>
                </m:sSub>
              </m:e>
            </m:mr>
            <m:mr>
              <m:e>
                <m:r>
                  <m:rPr>
                    <m:sty m:val="p"/>
                  </m:rPr>
                  <w:rPr>
                    <w:rFonts w:ascii="Cambria Math" w:hAnsi="Cambria Math" w:cs="Simplified Arabic"/>
                    <w:sz w:val="18"/>
                    <w:szCs w:val="18"/>
                    <w:lang w:val="en-GB"/>
                  </w:rPr>
                  <m:t>+</m:t>
                </m:r>
                <m:r>
                  <w:rPr>
                    <w:rFonts w:ascii="Cambria Math" w:hAnsi="Cambria Math" w:cs="Simplified Arabic"/>
                    <w:sz w:val="18"/>
                    <w:szCs w:val="18"/>
                    <w:lang w:val="en-GB"/>
                  </w:rPr>
                  <m:t>ψDUM</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2011</m:t>
                    </m:r>
                  </m:e>
                  <m:sub>
                    <m:r>
                      <w:rPr>
                        <w:rFonts w:ascii="Cambria Math" w:hAnsi="Cambria Math" w:cs="Simplified Arabic"/>
                        <w:sz w:val="18"/>
                        <w:szCs w:val="18"/>
                        <w:lang w:val="en-GB"/>
                      </w:rPr>
                      <m:t>t</m:t>
                    </m:r>
                  </m:sub>
                </m:sSub>
                <m:r>
                  <m:rPr>
                    <m:sty m:val="p"/>
                  </m:rPr>
                  <w:rPr>
                    <w:rFonts w:ascii="Cambria Math" w:hAnsi="Cambria Math" w:cs="Simplified Arabic"/>
                    <w:sz w:val="18"/>
                    <w:szCs w:val="18"/>
                    <w:lang w:val="en-GB"/>
                  </w:rPr>
                  <m:t>+</m:t>
                </m:r>
                <m:sSub>
                  <m:sSubPr>
                    <m:ctrlPr>
                      <w:rPr>
                        <w:rFonts w:ascii="Cambria Math" w:hAnsi="Cambria Math" w:cs="Simplified Arabic"/>
                        <w:sz w:val="18"/>
                        <w:szCs w:val="18"/>
                        <w:lang w:val="en-GB"/>
                      </w:rPr>
                    </m:ctrlPr>
                  </m:sSubPr>
                  <m:e>
                    <m:r>
                      <w:rPr>
                        <w:rFonts w:ascii="Cambria Math" w:hAnsi="Cambria Math" w:cs="Simplified Arabic"/>
                        <w:sz w:val="18"/>
                        <w:szCs w:val="18"/>
                        <w:lang w:val="en-GB"/>
                      </w:rPr>
                      <m:t>u</m:t>
                    </m:r>
                  </m:e>
                  <m:sub>
                    <m:r>
                      <w:rPr>
                        <w:rFonts w:ascii="Cambria Math" w:hAnsi="Cambria Math" w:cs="Simplified Arabic"/>
                        <w:sz w:val="18"/>
                        <w:szCs w:val="18"/>
                        <w:lang w:val="en-GB"/>
                      </w:rPr>
                      <m:t>t</m:t>
                    </m:r>
                  </m:sub>
                </m:sSub>
                <m:r>
                  <m:rPr>
                    <m:sty m:val="p"/>
                  </m:rPr>
                  <w:rPr>
                    <w:rFonts w:ascii="Cambria Math" w:hAnsi="Cambria Math" w:cs="Simplified Arabic"/>
                    <w:sz w:val="18"/>
                    <w:szCs w:val="18"/>
                    <w:lang w:val="en-GB"/>
                  </w:rPr>
                  <m:t>.</m:t>
                </m:r>
              </m:e>
            </m:mr>
          </m:m>
          <m:r>
            <w:rPr>
              <w:rFonts w:ascii="Cambria Math" w:hAnsi="Cambria Math" w:cs="Simplified Arabic"/>
              <w:sz w:val="18"/>
              <w:szCs w:val="18"/>
              <w:lang w:val="en-GB"/>
            </w:rPr>
            <m:t xml:space="preserve">      [4]</m:t>
          </m:r>
        </m:oMath>
      </m:oMathPara>
    </w:p>
    <w:p w14:paraId="2A87CCE0" w14:textId="77777777" w:rsidR="00587784" w:rsidRPr="00B67805" w:rsidRDefault="00587784" w:rsidP="00D6346F">
      <w:pPr>
        <w:spacing w:after="60" w:line="240" w:lineRule="atLeast"/>
        <w:ind w:firstLine="630"/>
        <w:rPr>
          <w:rFonts w:ascii="Palatino Linotype" w:hAnsi="Palatino Linotype" w:cs="Simplified Arabic"/>
          <w:sz w:val="18"/>
          <w:szCs w:val="18"/>
          <w:lang w:val="en-GB" w:bidi="ar-EG"/>
        </w:rPr>
      </w:pPr>
      <w:r w:rsidRPr="00B67805">
        <w:rPr>
          <w:rFonts w:ascii="Palatino Linotype" w:hAnsi="Palatino Linotype" w:cs="Simplified Arabic"/>
          <w:lang w:val="en-GB" w:bidi="ar-EG"/>
        </w:rPr>
        <w:t xml:space="preserve">The coefficients on the differenced variables capture short-run dynamics, whereas </w:t>
      </w:r>
      <m:oMath>
        <m:sSub>
          <m:sSubPr>
            <m:ctrlPr>
              <w:rPr>
                <w:rFonts w:ascii="Cambria Math" w:hAnsi="Cambria Math" w:cs="Simplified Arabic"/>
                <w:lang w:val="en-GB" w:bidi="ar-EG"/>
              </w:rPr>
            </m:ctrlPr>
          </m:sSubPr>
          <m:e>
            <m:r>
              <w:rPr>
                <w:rFonts w:ascii="Cambria Math" w:hAnsi="Cambria Math" w:cs="Simplified Arabic"/>
                <w:lang w:val="en-GB" w:bidi="ar-EG"/>
              </w:rPr>
              <m:t>ϕ</m:t>
            </m:r>
          </m:e>
          <m:sub>
            <m:r>
              <m:rPr>
                <m:sty m:val="p"/>
              </m:rPr>
              <w:rPr>
                <w:rFonts w:ascii="Cambria Math" w:hAnsi="Cambria Math" w:cs="Simplified Arabic"/>
                <w:lang w:val="en-GB" w:bidi="ar-EG"/>
              </w:rPr>
              <m:t>1</m:t>
            </m:r>
          </m:sub>
        </m:sSub>
      </m:oMath>
      <w:r w:rsidRPr="00B67805">
        <w:rPr>
          <w:rFonts w:ascii="Palatino Linotype" w:hAnsi="Palatino Linotype" w:cs="Simplified Arabic"/>
          <w:lang w:val="en-GB" w:bidi="ar-EG"/>
        </w:rPr>
        <w:t xml:space="preserve"> through </w:t>
      </w:r>
      <m:oMath>
        <m:sSub>
          <m:sSubPr>
            <m:ctrlPr>
              <w:rPr>
                <w:rFonts w:ascii="Cambria Math" w:hAnsi="Cambria Math" w:cs="Simplified Arabic"/>
                <w:lang w:val="en-GB" w:bidi="ar-EG"/>
              </w:rPr>
            </m:ctrlPr>
          </m:sSubPr>
          <m:e>
            <m:r>
              <w:rPr>
                <w:rFonts w:ascii="Cambria Math" w:hAnsi="Cambria Math" w:cs="Simplified Arabic"/>
                <w:lang w:val="en-GB" w:bidi="ar-EG"/>
              </w:rPr>
              <m:t>ϕ</m:t>
            </m:r>
          </m:e>
          <m:sub>
            <m:r>
              <m:rPr>
                <m:sty m:val="p"/>
              </m:rPr>
              <w:rPr>
                <w:rFonts w:ascii="Cambria Math" w:hAnsi="Cambria Math" w:cs="Simplified Arabic"/>
                <w:lang w:val="en-GB" w:bidi="ar-EG"/>
              </w:rPr>
              <m:t>5</m:t>
            </m:r>
          </m:sub>
        </m:sSub>
      </m:oMath>
      <w:r w:rsidRPr="00B67805">
        <w:rPr>
          <w:rFonts w:ascii="Palatino Linotype" w:hAnsi="Palatino Linotype" w:cs="Simplified Arabic"/>
          <w:lang w:val="en-GB" w:bidi="ar-EG"/>
        </w:rPr>
        <w:t xml:space="preserve"> are attached to the lagged level terms. The F-bounds statistic tests whether these lagged levels are jointly significant. The null hypothesis of no long-run level relationship is therefore:</w:t>
      </w:r>
    </w:p>
    <w:p w14:paraId="36CB8737" w14:textId="77777777" w:rsidR="00587784" w:rsidRPr="00B67805" w:rsidRDefault="00000000" w:rsidP="00D6346F">
      <w:pPr>
        <w:pStyle w:val="BodyText"/>
        <w:spacing w:after="60" w:line="240" w:lineRule="atLeast"/>
        <w:jc w:val="center"/>
        <w:rPr>
          <w:rFonts w:ascii="Palatino Linotype" w:hAnsi="Palatino Linotype" w:cs="Simplified Arabic"/>
          <w:sz w:val="20"/>
          <w:lang w:val="en-GB" w:bidi="ar-EG"/>
        </w:rPr>
      </w:pPr>
      <m:oMathPara>
        <m:oMathParaPr>
          <m:jc m:val="center"/>
        </m:oMathParaPr>
        <m:oMath>
          <m:sSub>
            <m:sSubPr>
              <m:ctrlPr>
                <w:rPr>
                  <w:rFonts w:ascii="Cambria Math" w:hAnsi="Cambria Math" w:cs="Simplified Arabic"/>
                  <w:sz w:val="20"/>
                  <w:lang w:val="en-GB" w:bidi="ar-EG"/>
                </w:rPr>
              </m:ctrlPr>
            </m:sSubPr>
            <m:e>
              <m:r>
                <w:rPr>
                  <w:rFonts w:ascii="Cambria Math" w:hAnsi="Cambria Math" w:cs="Simplified Arabic"/>
                  <w:sz w:val="20"/>
                  <w:lang w:val="en-GB" w:bidi="ar-EG"/>
                </w:rPr>
                <m:t>H</m:t>
              </m:r>
            </m:e>
            <m:sub>
              <m:r>
                <m:rPr>
                  <m:sty m:val="p"/>
                </m:rPr>
                <w:rPr>
                  <w:rFonts w:ascii="Cambria Math" w:hAnsi="Cambria Math" w:cs="Simplified Arabic"/>
                  <w:sz w:val="20"/>
                  <w:lang w:val="en-GB" w:bidi="ar-EG"/>
                </w:rPr>
                <m:t>0</m:t>
              </m:r>
            </m:sub>
          </m:sSub>
          <m:r>
            <m:rPr>
              <m:sty m:val="p"/>
            </m:rPr>
            <w:rPr>
              <w:rFonts w:ascii="Cambria Math" w:hAnsi="Cambria Math" w:cs="Simplified Arabic"/>
              <w:sz w:val="20"/>
              <w:lang w:val="en-GB" w:bidi="ar-EG"/>
            </w:rPr>
            <m:t>: </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m:rPr>
                  <m:sty m:val="p"/>
                </m:rPr>
                <w:rPr>
                  <w:rFonts w:ascii="Cambria Math" w:hAnsi="Cambria Math" w:cs="Simplified Arabic"/>
                  <w:sz w:val="20"/>
                  <w:lang w:val="en-GB" w:bidi="ar-EG"/>
                </w:rPr>
                <m:t>1</m:t>
              </m:r>
            </m:sub>
          </m:sSub>
          <m:r>
            <m:rPr>
              <m:sty m:val="p"/>
            </m:rPr>
            <w:rPr>
              <w:rFonts w:ascii="Cambria Math" w:hAnsi="Cambria Math" w:cs="Simplified Arabic"/>
              <w:sz w:val="20"/>
              <w:lang w:val="en-GB" w:bidi="ar-EG"/>
            </w:rPr>
            <m:t>=</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m:rPr>
                  <m:sty m:val="p"/>
                </m:rPr>
                <w:rPr>
                  <w:rFonts w:ascii="Cambria Math" w:hAnsi="Cambria Math" w:cs="Simplified Arabic"/>
                  <w:sz w:val="20"/>
                  <w:lang w:val="en-GB" w:bidi="ar-EG"/>
                </w:rPr>
                <m:t>2</m:t>
              </m:r>
            </m:sub>
          </m:sSub>
          <m:r>
            <m:rPr>
              <m:sty m:val="p"/>
            </m:rPr>
            <w:rPr>
              <w:rFonts w:ascii="Cambria Math" w:hAnsi="Cambria Math" w:cs="Simplified Arabic"/>
              <w:sz w:val="20"/>
              <w:lang w:val="en-GB" w:bidi="ar-EG"/>
            </w:rPr>
            <m:t>=</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m:rPr>
                  <m:sty m:val="p"/>
                </m:rPr>
                <w:rPr>
                  <w:rFonts w:ascii="Cambria Math" w:hAnsi="Cambria Math" w:cs="Simplified Arabic"/>
                  <w:sz w:val="20"/>
                  <w:lang w:val="en-GB" w:bidi="ar-EG"/>
                </w:rPr>
                <m:t>3</m:t>
              </m:r>
            </m:sub>
          </m:sSub>
          <m:r>
            <m:rPr>
              <m:sty m:val="p"/>
            </m:rPr>
            <w:rPr>
              <w:rFonts w:ascii="Cambria Math" w:hAnsi="Cambria Math" w:cs="Simplified Arabic"/>
              <w:sz w:val="20"/>
              <w:lang w:val="en-GB" w:bidi="ar-EG"/>
            </w:rPr>
            <m:t>=</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m:rPr>
                  <m:sty m:val="p"/>
                </m:rPr>
                <w:rPr>
                  <w:rFonts w:ascii="Cambria Math" w:hAnsi="Cambria Math" w:cs="Simplified Arabic"/>
                  <w:sz w:val="20"/>
                  <w:lang w:val="en-GB" w:bidi="ar-EG"/>
                </w:rPr>
                <m:t>4</m:t>
              </m:r>
            </m:sub>
          </m:sSub>
          <m:r>
            <m:rPr>
              <m:sty m:val="p"/>
            </m:rPr>
            <w:rPr>
              <w:rFonts w:ascii="Cambria Math" w:hAnsi="Cambria Math" w:cs="Simplified Arabic"/>
              <w:sz w:val="20"/>
              <w:lang w:val="en-GB" w:bidi="ar-EG"/>
            </w:rPr>
            <m:t>=</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m:rPr>
                  <m:sty m:val="p"/>
                </m:rPr>
                <w:rPr>
                  <w:rFonts w:ascii="Cambria Math" w:hAnsi="Cambria Math" w:cs="Simplified Arabic"/>
                  <w:sz w:val="20"/>
                  <w:lang w:val="en-GB" w:bidi="ar-EG"/>
                </w:rPr>
                <m:t>5</m:t>
              </m:r>
            </m:sub>
          </m:sSub>
          <m:r>
            <m:rPr>
              <m:sty m:val="p"/>
            </m:rPr>
            <w:rPr>
              <w:rFonts w:ascii="Cambria Math" w:hAnsi="Cambria Math" w:cs="Simplified Arabic"/>
              <w:sz w:val="20"/>
              <w:lang w:val="en-GB" w:bidi="ar-EG"/>
            </w:rPr>
            <m:t>=0,</m:t>
          </m:r>
        </m:oMath>
      </m:oMathPara>
    </w:p>
    <w:p w14:paraId="390F1AA7"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against the alternative:</w:t>
      </w:r>
    </w:p>
    <w:p w14:paraId="137E520F" w14:textId="77777777" w:rsidR="00587784" w:rsidRPr="00B67805" w:rsidRDefault="00000000" w:rsidP="00D6346F">
      <w:pPr>
        <w:pStyle w:val="BodyText"/>
        <w:spacing w:after="60" w:line="240" w:lineRule="atLeast"/>
        <w:jc w:val="center"/>
        <w:rPr>
          <w:rFonts w:ascii="Palatino Linotype" w:hAnsi="Palatino Linotype" w:cs="Simplified Arabic"/>
          <w:sz w:val="20"/>
          <w:lang w:val="en-GB" w:bidi="ar-EG"/>
        </w:rPr>
      </w:pPr>
      <m:oMathPara>
        <m:oMath>
          <m:sSub>
            <m:sSubPr>
              <m:ctrlPr>
                <w:rPr>
                  <w:rFonts w:ascii="Cambria Math" w:hAnsi="Cambria Math" w:cs="Simplified Arabic"/>
                  <w:sz w:val="20"/>
                  <w:lang w:val="en-GB" w:bidi="ar-EG"/>
                </w:rPr>
              </m:ctrlPr>
            </m:sSubPr>
            <m:e>
              <m:r>
                <w:rPr>
                  <w:rFonts w:ascii="Cambria Math" w:hAnsi="Cambria Math" w:cs="Simplified Arabic"/>
                  <w:sz w:val="20"/>
                  <w:lang w:val="en-GB" w:bidi="ar-EG"/>
                </w:rPr>
                <m:t>H</m:t>
              </m:r>
            </m:e>
            <m:sub>
              <m:r>
                <m:rPr>
                  <m:sty m:val="p"/>
                </m:rPr>
                <w:rPr>
                  <w:rFonts w:ascii="Cambria Math" w:hAnsi="Cambria Math" w:cs="Simplified Arabic"/>
                  <w:sz w:val="20"/>
                  <w:lang w:val="en-GB" w:bidi="ar-EG"/>
                </w:rPr>
                <m:t>1</m:t>
              </m:r>
            </m:sub>
          </m:sSub>
          <m:r>
            <m:rPr>
              <m:sty m:val="p"/>
            </m:rPr>
            <w:rPr>
              <w:rFonts w:ascii="Cambria Math" w:hAnsi="Cambria Math" w:cs="Simplified Arabic"/>
              <w:sz w:val="20"/>
              <w:lang w:val="en-GB" w:bidi="ar-EG"/>
            </w:rPr>
            <m:t>: </m:t>
          </m:r>
          <m:r>
            <m:rPr>
              <m:nor/>
            </m:rPr>
            <w:rPr>
              <w:rFonts w:ascii="Palatino Linotype" w:hAnsi="Palatino Linotype" w:cs="Simplified Arabic"/>
              <w:sz w:val="20"/>
              <w:lang w:val="en-GB" w:bidi="ar-EG"/>
            </w:rPr>
            <m:t xml:space="preserve">at least one </m:t>
          </m:r>
          <m:sSub>
            <m:sSubPr>
              <m:ctrlPr>
                <w:rPr>
                  <w:rFonts w:ascii="Cambria Math" w:hAnsi="Cambria Math" w:cs="Simplified Arabic"/>
                  <w:sz w:val="20"/>
                  <w:lang w:val="en-GB" w:bidi="ar-EG"/>
                </w:rPr>
              </m:ctrlPr>
            </m:sSubPr>
            <m:e>
              <m:r>
                <w:rPr>
                  <w:rFonts w:ascii="Cambria Math" w:hAnsi="Cambria Math" w:cs="Simplified Arabic"/>
                  <w:sz w:val="20"/>
                  <w:lang w:val="en-GB" w:bidi="ar-EG"/>
                </w:rPr>
                <m:t>ϕ</m:t>
              </m:r>
            </m:e>
            <m:sub>
              <m:r>
                <w:rPr>
                  <w:rFonts w:ascii="Cambria Math" w:hAnsi="Cambria Math" w:cs="Simplified Arabic"/>
                  <w:sz w:val="20"/>
                  <w:lang w:val="en-GB" w:bidi="ar-EG"/>
                </w:rPr>
                <m:t>r</m:t>
              </m:r>
            </m:sub>
          </m:sSub>
          <m:r>
            <m:rPr>
              <m:sty m:val="p"/>
            </m:rPr>
            <w:rPr>
              <w:rFonts w:ascii="Cambria Math" w:hAnsi="Cambria Math" w:cs="Simplified Arabic"/>
              <w:sz w:val="20"/>
              <w:lang w:val="en-GB" w:bidi="ar-EG"/>
            </w:rPr>
            <m:t>≠0,  </m:t>
          </m:r>
          <m:r>
            <w:rPr>
              <w:rFonts w:ascii="Cambria Math" w:hAnsi="Cambria Math" w:cs="Simplified Arabic"/>
              <w:sz w:val="20"/>
              <w:lang w:val="en-GB" w:bidi="ar-EG"/>
            </w:rPr>
            <m:t>r</m:t>
          </m:r>
          <m:r>
            <m:rPr>
              <m:sty m:val="p"/>
            </m:rPr>
            <w:rPr>
              <w:rFonts w:ascii="Cambria Math" w:hAnsi="Cambria Math" w:cs="Simplified Arabic"/>
              <w:sz w:val="20"/>
              <w:lang w:val="en-GB" w:bidi="ar-EG"/>
            </w:rPr>
            <m:t>=1,…,5.</m:t>
          </m:r>
        </m:oMath>
      </m:oMathPara>
    </w:p>
    <w:p w14:paraId="701ED7AC"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 xml:space="preserve">The decision rule is based on the lower </w:t>
      </w:r>
      <m:oMath>
        <m:r>
          <w:rPr>
            <w:rFonts w:ascii="Cambria Math" w:hAnsi="Cambria Math" w:cs="Simplified Arabic"/>
            <w:lang w:val="en-GB" w:bidi="ar-EG"/>
          </w:rPr>
          <m:t>I</m:t>
        </m:r>
        <m:d>
          <m:dPr>
            <m:ctrlPr>
              <w:rPr>
                <w:rFonts w:ascii="Cambria Math" w:hAnsi="Cambria Math" w:cs="Simplified Arabic"/>
                <w:lang w:val="en-GB" w:bidi="ar-EG"/>
              </w:rPr>
            </m:ctrlPr>
          </m:dPr>
          <m:e>
            <m:r>
              <m:rPr>
                <m:sty m:val="p"/>
              </m:rPr>
              <w:rPr>
                <w:rFonts w:ascii="Cambria Math" w:hAnsi="Cambria Math" w:cs="Simplified Arabic"/>
                <w:lang w:val="en-GB" w:bidi="ar-EG"/>
              </w:rPr>
              <m:t>0</m:t>
            </m:r>
          </m:e>
        </m:d>
      </m:oMath>
      <w:r w:rsidRPr="00B67805">
        <w:rPr>
          <w:rFonts w:ascii="Palatino Linotype" w:hAnsi="Palatino Linotype" w:cs="Simplified Arabic"/>
          <w:lang w:val="en-GB" w:bidi="ar-EG"/>
        </w:rPr>
        <w:t xml:space="preserve"> and upper </w:t>
      </w:r>
      <m:oMath>
        <m:r>
          <w:rPr>
            <w:rFonts w:ascii="Cambria Math" w:hAnsi="Cambria Math" w:cs="Simplified Arabic"/>
            <w:lang w:val="en-GB" w:bidi="ar-EG"/>
          </w:rPr>
          <m:t>I</m:t>
        </m:r>
        <m:d>
          <m:dPr>
            <m:ctrlPr>
              <w:rPr>
                <w:rFonts w:ascii="Cambria Math" w:hAnsi="Cambria Math" w:cs="Simplified Arabic"/>
                <w:lang w:val="en-GB" w:bidi="ar-EG"/>
              </w:rPr>
            </m:ctrlPr>
          </m:dPr>
          <m:e>
            <m:r>
              <m:rPr>
                <m:sty m:val="p"/>
              </m:rPr>
              <w:rPr>
                <w:rFonts w:ascii="Cambria Math" w:hAnsi="Cambria Math" w:cs="Simplified Arabic"/>
                <w:lang w:val="en-GB" w:bidi="ar-EG"/>
              </w:rPr>
              <m:t>1</m:t>
            </m:r>
          </m:e>
        </m:d>
      </m:oMath>
      <w:r w:rsidRPr="00B67805">
        <w:rPr>
          <w:rFonts w:ascii="Palatino Linotype" w:hAnsi="Palatino Linotype" w:cs="Simplified Arabic"/>
          <w:lang w:val="en-GB" w:bidi="ar-EG"/>
        </w:rPr>
        <w:t xml:space="preserve"> critical bounds. If the computed F-statistic exceeds the upper bound, </w:t>
      </w:r>
      <m:oMath>
        <m:sSub>
          <m:sSubPr>
            <m:ctrlPr>
              <w:rPr>
                <w:rFonts w:ascii="Cambria Math" w:hAnsi="Cambria Math" w:cs="Simplified Arabic"/>
                <w:lang w:val="en-GB" w:bidi="ar-EG"/>
              </w:rPr>
            </m:ctrlPr>
          </m:sSubPr>
          <m:e>
            <m:r>
              <w:rPr>
                <w:rFonts w:ascii="Cambria Math" w:hAnsi="Cambria Math" w:cs="Simplified Arabic"/>
                <w:lang w:val="en-GB" w:bidi="ar-EG"/>
              </w:rPr>
              <m:t>H</m:t>
            </m:r>
          </m:e>
          <m:sub>
            <m:r>
              <m:rPr>
                <m:sty m:val="p"/>
              </m:rPr>
              <w:rPr>
                <w:rFonts w:ascii="Cambria Math" w:hAnsi="Cambria Math" w:cs="Simplified Arabic"/>
                <w:lang w:val="en-GB" w:bidi="ar-EG"/>
              </w:rPr>
              <m:t>0</m:t>
            </m:r>
          </m:sub>
        </m:sSub>
      </m:oMath>
      <w:r w:rsidRPr="00B67805">
        <w:rPr>
          <w:rFonts w:ascii="Palatino Linotype" w:hAnsi="Palatino Linotype" w:cs="Simplified Arabic"/>
          <w:lang w:val="en-GB" w:bidi="ar-EG"/>
        </w:rPr>
        <w:t xml:space="preserve"> is rejected and a long-run level relationship is supported; if it falls below the lower bound, </w:t>
      </w:r>
      <m:oMath>
        <m:sSub>
          <m:sSubPr>
            <m:ctrlPr>
              <w:rPr>
                <w:rFonts w:ascii="Cambria Math" w:hAnsi="Cambria Math" w:cs="Simplified Arabic"/>
                <w:lang w:val="en-GB" w:bidi="ar-EG"/>
              </w:rPr>
            </m:ctrlPr>
          </m:sSubPr>
          <m:e>
            <m:r>
              <w:rPr>
                <w:rFonts w:ascii="Cambria Math" w:hAnsi="Cambria Math" w:cs="Simplified Arabic"/>
                <w:lang w:val="en-GB" w:bidi="ar-EG"/>
              </w:rPr>
              <m:t>H</m:t>
            </m:r>
          </m:e>
          <m:sub>
            <m:r>
              <m:rPr>
                <m:sty m:val="p"/>
              </m:rPr>
              <w:rPr>
                <w:rFonts w:ascii="Cambria Math" w:hAnsi="Cambria Math" w:cs="Simplified Arabic"/>
                <w:lang w:val="en-GB" w:bidi="ar-EG"/>
              </w:rPr>
              <m:t>0</m:t>
            </m:r>
          </m:sub>
        </m:sSub>
      </m:oMath>
      <w:r w:rsidRPr="00B67805">
        <w:rPr>
          <w:rFonts w:ascii="Palatino Linotype" w:hAnsi="Palatino Linotype" w:cs="Simplified Arabic"/>
          <w:lang w:val="en-GB" w:bidi="ar-EG"/>
        </w:rPr>
        <w:t xml:space="preserve"> cannot be rejected; and if it lies between the two bounds, the result is inconclusive. Given the relatively small annual sample, finite-sample critical values are preferred for the F-bounds test where they are available, since small-sample inference may differ materially from the asymptotic approximation (Narayan, 2005).</w:t>
      </w:r>
    </w:p>
    <w:p w14:paraId="6A44D399"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 xml:space="preserve">The F-bounds test is complemented by the t-bounds test proposed within the same framework. Whereas the F-bounds statistic assesses the joint significance of all lagged level terms, the t-bounds statistic focuses specifically on the coefficient of the lagged dependent variable, </w:t>
      </w:r>
      <m:oMath>
        <m:r>
          <w:rPr>
            <w:rFonts w:ascii="Cambria Math" w:hAnsi="Cambria Math" w:cs="Simplified Arabic"/>
            <w:lang w:val="en-GB" w:bidi="ar-EG"/>
          </w:rPr>
          <m:t>UNEM</m:t>
        </m:r>
        <m:sSub>
          <m:sSubPr>
            <m:ctrlPr>
              <w:rPr>
                <w:rFonts w:ascii="Cambria Math" w:hAnsi="Cambria Math" w:cs="Simplified Arabic"/>
                <w:lang w:val="en-GB" w:bidi="ar-EG"/>
              </w:rPr>
            </m:ctrlPr>
          </m:sSubPr>
          <m:e>
            <m:r>
              <w:rPr>
                <w:rFonts w:ascii="Cambria Math" w:hAnsi="Cambria Math" w:cs="Simplified Arabic"/>
                <w:lang w:val="en-GB" w:bidi="ar-EG"/>
              </w:rPr>
              <m:t>P</m:t>
            </m:r>
          </m:e>
          <m:sub>
            <m:r>
              <w:rPr>
                <w:rFonts w:ascii="Cambria Math" w:hAnsi="Cambria Math" w:cs="Simplified Arabic"/>
                <w:lang w:val="en-GB" w:bidi="ar-EG"/>
              </w:rPr>
              <m:t>t</m:t>
            </m:r>
            <m:r>
              <m:rPr>
                <m:sty m:val="p"/>
              </m:rPr>
              <w:rPr>
                <w:rFonts w:ascii="Cambria Math" w:hAnsi="Cambria Math" w:cs="Simplified Arabic"/>
                <w:lang w:val="en-GB" w:bidi="ar-EG"/>
              </w:rPr>
              <m:t>-1</m:t>
            </m:r>
          </m:sub>
        </m:sSub>
      </m:oMath>
      <w:r w:rsidRPr="00B67805">
        <w:rPr>
          <w:rFonts w:ascii="Palatino Linotype" w:hAnsi="Palatino Linotype" w:cs="Simplified Arabic"/>
          <w:lang w:val="en-GB" w:bidi="ar-EG"/>
        </w:rPr>
        <w:t>. The two tests are therefore complementary rather than competing sources of evidence. Because their distributions are non-standard under the null of no level relationship, both statistics are evaluated against the relevant bounds critical values rather than conventional F- or t-critical values (Pesaran et al., 2001).</w:t>
      </w:r>
    </w:p>
    <w:p w14:paraId="6D7686FF"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 xml:space="preserve">In the present specification, </w:t>
      </w:r>
      <m:oMath>
        <m:r>
          <w:rPr>
            <w:rFonts w:ascii="Cambria Math" w:hAnsi="Cambria Math" w:cs="Simplified Arabic"/>
            <w:lang w:val="en-GB" w:bidi="ar-EG"/>
          </w:rPr>
          <m:t>k</m:t>
        </m:r>
        <m:r>
          <m:rPr>
            <m:sty m:val="p"/>
          </m:rPr>
          <w:rPr>
            <w:rFonts w:ascii="Cambria Math" w:hAnsi="Cambria Math" w:cs="Simplified Arabic"/>
            <w:lang w:val="en-GB" w:bidi="ar-EG"/>
          </w:rPr>
          <m:t>=4</m:t>
        </m:r>
      </m:oMath>
      <w:r w:rsidRPr="00B67805">
        <w:rPr>
          <w:rFonts w:ascii="Palatino Linotype" w:hAnsi="Palatino Linotype" w:cs="Simplified Arabic"/>
          <w:lang w:val="en-GB" w:bidi="ar-EG"/>
        </w:rPr>
        <w:t xml:space="preserve"> because the long-run regressor set comprises </w:t>
      </w:r>
      <m:oMath>
        <m:r>
          <w:rPr>
            <w:rFonts w:ascii="Cambria Math" w:hAnsi="Cambria Math" w:cs="Simplified Arabic"/>
            <w:lang w:val="en-GB" w:bidi="ar-EG"/>
          </w:rPr>
          <m:t>GFCF</m:t>
        </m:r>
      </m:oMath>
      <w:r w:rsidRPr="00B67805">
        <w:rPr>
          <w:rFonts w:ascii="Palatino Linotype" w:hAnsi="Palatino Linotype" w:cs="Simplified Arabic"/>
          <w:lang w:val="en-GB" w:bidi="ar-EG"/>
        </w:rPr>
        <w:t xml:space="preserve">, </w:t>
      </w:r>
      <m:oMath>
        <m:r>
          <w:rPr>
            <w:rFonts w:ascii="Cambria Math" w:hAnsi="Cambria Math" w:cs="Simplified Arabic"/>
            <w:lang w:val="en-GB" w:bidi="ar-EG"/>
          </w:rPr>
          <m:t>EDU</m:t>
        </m:r>
      </m:oMath>
      <w:r w:rsidRPr="00B67805">
        <w:rPr>
          <w:rFonts w:ascii="Palatino Linotype" w:hAnsi="Palatino Linotype" w:cs="Simplified Arabic"/>
          <w:lang w:val="en-GB" w:bidi="ar-EG"/>
        </w:rPr>
        <w:t xml:space="preserve">, </w:t>
      </w:r>
      <m:oMath>
        <m:r>
          <w:rPr>
            <w:rFonts w:ascii="Cambria Math" w:hAnsi="Cambria Math" w:cs="Simplified Arabic"/>
            <w:lang w:val="en-GB" w:bidi="ar-EG"/>
          </w:rPr>
          <m:t>LBBND</m:t>
        </m:r>
      </m:oMath>
      <w:r w:rsidRPr="00B67805">
        <w:rPr>
          <w:rFonts w:ascii="Palatino Linotype" w:hAnsi="Palatino Linotype" w:cs="Simplified Arabic"/>
          <w:lang w:val="en-GB" w:bidi="ar-EG"/>
        </w:rPr>
        <w:t xml:space="preserve">, and </w:t>
      </w:r>
      <m:oMath>
        <m:r>
          <w:rPr>
            <w:rFonts w:ascii="Cambria Math" w:hAnsi="Cambria Math" w:cs="Simplified Arabic"/>
            <w:lang w:val="en-GB" w:bidi="ar-EG"/>
          </w:rPr>
          <m:t>EDUBBN</m:t>
        </m:r>
        <m:sSub>
          <m:sSubPr>
            <m:ctrlPr>
              <w:rPr>
                <w:rFonts w:ascii="Cambria Math" w:hAnsi="Cambria Math" w:cs="Simplified Arabic"/>
                <w:lang w:val="en-GB" w:bidi="ar-EG"/>
              </w:rPr>
            </m:ctrlPr>
          </m:sSubPr>
          <m:e>
            <m:r>
              <w:rPr>
                <w:rFonts w:ascii="Cambria Math" w:hAnsi="Cambria Math" w:cs="Simplified Arabic"/>
                <w:lang w:val="en-GB" w:bidi="ar-EG"/>
              </w:rPr>
              <m:t>D</m:t>
            </m:r>
          </m:e>
          <m:sub>
            <m:r>
              <w:rPr>
                <w:rFonts w:ascii="Cambria Math" w:hAnsi="Cambria Math" w:cs="Simplified Arabic"/>
                <w:lang w:val="en-GB" w:bidi="ar-EG"/>
              </w:rPr>
              <m:t>C</m:t>
            </m:r>
          </m:sub>
        </m:sSub>
      </m:oMath>
      <w:r w:rsidRPr="00B67805">
        <w:rPr>
          <w:rFonts w:ascii="Palatino Linotype" w:hAnsi="Palatino Linotype" w:cs="Simplified Arabic"/>
          <w:lang w:val="en-GB" w:bidi="ar-EG"/>
        </w:rPr>
        <w:t xml:space="preserve">. The lagged dependent variable is not counted in </w:t>
      </w:r>
      <m:oMath>
        <m:r>
          <w:rPr>
            <w:rFonts w:ascii="Cambria Math" w:hAnsi="Cambria Math" w:cs="Simplified Arabic"/>
            <w:lang w:val="en-GB" w:bidi="ar-EG"/>
          </w:rPr>
          <m:t>k</m:t>
        </m:r>
      </m:oMath>
      <w:r w:rsidRPr="00B67805">
        <w:rPr>
          <w:rFonts w:ascii="Palatino Linotype" w:hAnsi="Palatino Linotype" w:cs="Simplified Arabic"/>
          <w:lang w:val="en-GB" w:bidi="ar-EG"/>
        </w:rPr>
        <w:t xml:space="preserve">, and neither is </w:t>
      </w:r>
      <m:oMath>
        <m:r>
          <w:rPr>
            <w:rFonts w:ascii="Cambria Math" w:hAnsi="Cambria Math" w:cs="Simplified Arabic"/>
            <w:lang w:val="en-GB" w:bidi="ar-EG"/>
          </w:rPr>
          <m:t>DUM</m:t>
        </m:r>
        <m:r>
          <m:rPr>
            <m:sty m:val="p"/>
          </m:rPr>
          <w:rPr>
            <w:rFonts w:ascii="Cambria Math" w:hAnsi="Cambria Math" w:cs="Simplified Arabic"/>
            <w:lang w:val="en-GB" w:bidi="ar-EG"/>
          </w:rPr>
          <m:t>2011</m:t>
        </m:r>
      </m:oMath>
      <w:r w:rsidRPr="00B67805">
        <w:rPr>
          <w:rFonts w:ascii="Palatino Linotype" w:hAnsi="Palatino Linotype" w:cs="Simplified Arabic"/>
          <w:lang w:val="en-GB" w:bidi="ar-EG"/>
        </w:rPr>
        <w:t>, because the latter is a deterministic fixed exogenous pulse dummy rather than a variable entering the long-run level relationship.</w:t>
      </w:r>
    </w:p>
    <w:p w14:paraId="7725CC7C" w14:textId="77777777" w:rsidR="00587784" w:rsidRPr="00D6346F" w:rsidRDefault="00587784" w:rsidP="00D6346F">
      <w:pPr>
        <w:spacing w:before="240" w:after="60" w:line="240" w:lineRule="atLeast"/>
        <w:rPr>
          <w:rFonts w:ascii="Palatino Linotype" w:eastAsia="Times New Roman" w:hAnsi="Palatino Linotype" w:cs="Simplified Arabic"/>
          <w:b/>
          <w:bCs/>
          <w:sz w:val="22"/>
          <w:szCs w:val="22"/>
          <w:lang w:val="en-GB"/>
        </w:rPr>
      </w:pPr>
      <w:r w:rsidRPr="00D6346F">
        <w:rPr>
          <w:rFonts w:ascii="Palatino Linotype" w:eastAsia="Times New Roman" w:hAnsi="Palatino Linotype" w:cs="Simplified Arabic"/>
          <w:b/>
          <w:bCs/>
          <w:sz w:val="22"/>
          <w:szCs w:val="22"/>
          <w:lang w:val="en-GB"/>
        </w:rPr>
        <w:t>4.2.4 Long-Run Estimation and the Error-Correction Model</w:t>
      </w:r>
    </w:p>
    <w:p w14:paraId="0022A7F6" w14:textId="77777777" w:rsidR="00587784" w:rsidRPr="00B67805" w:rsidRDefault="00587784" w:rsidP="00D6346F">
      <w:pPr>
        <w:spacing w:after="60" w:line="240" w:lineRule="atLeast"/>
        <w:ind w:firstLine="510"/>
        <w:rPr>
          <w:rFonts w:ascii="Palatino Linotype" w:hAnsi="Palatino Linotype" w:cs="Simplified Arabic"/>
          <w:sz w:val="18"/>
          <w:szCs w:val="18"/>
          <w:lang w:val="en-GB" w:bidi="ar-EG"/>
        </w:rPr>
      </w:pPr>
      <w:r w:rsidRPr="00B67805">
        <w:rPr>
          <w:rFonts w:ascii="Palatino Linotype" w:hAnsi="Palatino Linotype" w:cs="Simplified Arabic"/>
          <w:lang w:val="en-GB" w:bidi="ar-EG"/>
        </w:rPr>
        <w:t>If the bounds tests provide evidence of a long-run level relationship, the normalised long-run coefficients are estimated, and the short-run dynamics are represented through a restricted error-correction model. In compact form, the ECM is written as:</w:t>
      </w:r>
    </w:p>
    <w:p w14:paraId="4C924608" w14:textId="77777777" w:rsidR="00587784" w:rsidRPr="00B67805" w:rsidRDefault="00587784" w:rsidP="00D6346F">
      <w:pPr>
        <w:pStyle w:val="BodyText"/>
        <w:spacing w:after="60" w:line="240" w:lineRule="atLeast"/>
        <w:jc w:val="center"/>
        <w:rPr>
          <w:rFonts w:ascii="Palatino Linotype" w:hAnsi="Palatino Linotype" w:cs="Simplified Arabic"/>
          <w:sz w:val="20"/>
          <w:lang w:val="en-GB"/>
        </w:rPr>
      </w:pPr>
      <m:oMath>
        <m:r>
          <w:rPr>
            <w:rFonts w:ascii="Cambria Math" w:hAnsi="Cambria Math" w:cs="Simplified Arabic"/>
            <w:sz w:val="20"/>
            <w:lang w:val="en-GB"/>
          </w:rPr>
          <m:t>ΔUNEM</m:t>
        </m:r>
        <m:sSub>
          <m:sSubPr>
            <m:ctrlPr>
              <w:rPr>
                <w:rFonts w:ascii="Cambria Math" w:hAnsi="Cambria Math" w:cs="Simplified Arabic"/>
                <w:sz w:val="20"/>
                <w:lang w:val="en-GB"/>
              </w:rPr>
            </m:ctrlPr>
          </m:sSubPr>
          <m:e>
            <m:r>
              <w:rPr>
                <w:rFonts w:ascii="Cambria Math" w:hAnsi="Cambria Math" w:cs="Simplified Arabic"/>
                <w:sz w:val="20"/>
                <w:lang w:val="en-GB"/>
              </w:rPr>
              <m:t>P</m:t>
            </m:r>
          </m:e>
          <m:sub>
            <m:r>
              <w:rPr>
                <w:rFonts w:ascii="Cambria Math" w:hAnsi="Cambria Math" w:cs="Simplified Arabic"/>
                <w:sz w:val="20"/>
                <w:lang w:val="en-GB"/>
              </w:rPr>
              <m:t>t</m:t>
            </m:r>
          </m:sub>
        </m:sSub>
        <m:r>
          <m:rPr>
            <m:sty m:val="p"/>
          </m:rPr>
          <w:rPr>
            <w:rFonts w:ascii="Cambria Math" w:hAnsi="Cambria Math" w:cs="Simplified Arabic"/>
            <w:sz w:val="20"/>
            <w:lang w:val="en-GB"/>
          </w:rPr>
          <m:t>=</m:t>
        </m:r>
        <m:sSub>
          <m:sSubPr>
            <m:ctrlPr>
              <w:rPr>
                <w:rFonts w:ascii="Cambria Math" w:hAnsi="Cambria Math" w:cs="Simplified Arabic"/>
                <w:sz w:val="20"/>
                <w:lang w:val="en-GB"/>
              </w:rPr>
            </m:ctrlPr>
          </m:sSubPr>
          <m:e>
            <m:r>
              <w:rPr>
                <w:rFonts w:ascii="Cambria Math" w:hAnsi="Cambria Math" w:cs="Simplified Arabic"/>
                <w:sz w:val="20"/>
                <w:lang w:val="en-GB"/>
              </w:rPr>
              <m:t>ω</m:t>
            </m:r>
          </m:e>
          <m:sub>
            <m:r>
              <w:rPr>
                <w:rFonts w:ascii="Cambria Math" w:hAnsi="Cambria Math" w:cs="Simplified Arabic"/>
                <w:sz w:val="20"/>
                <w:lang w:val="en-GB"/>
              </w:rPr>
              <m:t>0</m:t>
            </m:r>
          </m:sub>
        </m:sSub>
        <m:r>
          <m:rPr>
            <m:sty m:val="p"/>
          </m:rPr>
          <w:rPr>
            <w:rFonts w:ascii="Cambria Math" w:hAnsi="Cambria Math" w:cs="Simplified Arabic"/>
            <w:sz w:val="20"/>
            <w:lang w:val="en-GB"/>
          </w:rPr>
          <m:t>+</m:t>
        </m:r>
        <m:nary>
          <m:naryPr>
            <m:chr m:val="∑"/>
            <m:limLoc m:val="undOvr"/>
            <m:ctrlPr>
              <w:rPr>
                <w:rFonts w:ascii="Cambria Math" w:hAnsi="Cambria Math" w:cs="Simplified Arabic"/>
                <w:sz w:val="20"/>
                <w:lang w:val="en-GB"/>
              </w:rPr>
            </m:ctrlPr>
          </m:naryPr>
          <m:sub>
            <m:r>
              <w:rPr>
                <w:rFonts w:ascii="Cambria Math" w:hAnsi="Cambria Math" w:cs="Simplified Arabic"/>
                <w:sz w:val="20"/>
                <w:lang w:val="en-GB"/>
              </w:rPr>
              <m:t>i</m:t>
            </m:r>
            <m:r>
              <m:rPr>
                <m:sty m:val="p"/>
              </m:rPr>
              <w:rPr>
                <w:rFonts w:ascii="Cambria Math" w:hAnsi="Cambria Math" w:cs="Simplified Arabic"/>
                <w:sz w:val="20"/>
                <w:lang w:val="en-GB"/>
              </w:rPr>
              <m:t>=</m:t>
            </m:r>
            <m:r>
              <w:rPr>
                <w:rFonts w:ascii="Cambria Math" w:hAnsi="Cambria Math" w:cs="Simplified Arabic"/>
                <w:sz w:val="20"/>
                <w:lang w:val="en-GB"/>
              </w:rPr>
              <m:t>1</m:t>
            </m:r>
          </m:sub>
          <m:sup>
            <m:r>
              <w:rPr>
                <w:rFonts w:ascii="Cambria Math" w:hAnsi="Cambria Math" w:cs="Simplified Arabic"/>
                <w:sz w:val="20"/>
                <w:lang w:val="en-GB"/>
              </w:rPr>
              <m:t>p</m:t>
            </m:r>
            <m:r>
              <m:rPr>
                <m:sty m:val="p"/>
              </m:rPr>
              <w:rPr>
                <w:rFonts w:ascii="Cambria Math" w:hAnsi="Cambria Math" w:cs="Simplified Arabic"/>
                <w:sz w:val="20"/>
                <w:lang w:val="en-GB"/>
              </w:rPr>
              <m:t>-</m:t>
            </m:r>
            <m:r>
              <w:rPr>
                <w:rFonts w:ascii="Cambria Math" w:hAnsi="Cambria Math" w:cs="Simplified Arabic"/>
                <w:sz w:val="20"/>
                <w:lang w:val="en-GB"/>
              </w:rPr>
              <m:t>1</m:t>
            </m:r>
          </m:sup>
          <m:e>
            <m:sSub>
              <m:sSubPr>
                <m:ctrlPr>
                  <w:rPr>
                    <w:rFonts w:ascii="Cambria Math" w:hAnsi="Cambria Math" w:cs="Simplified Arabic"/>
                    <w:sz w:val="20"/>
                    <w:lang w:val="en-GB"/>
                  </w:rPr>
                </m:ctrlPr>
              </m:sSubPr>
              <m:e>
                <m:r>
                  <w:rPr>
                    <w:rFonts w:ascii="Cambria Math" w:hAnsi="Cambria Math" w:cs="Simplified Arabic"/>
                    <w:sz w:val="20"/>
                    <w:lang w:val="en-GB"/>
                  </w:rPr>
                  <m:t>ω</m:t>
                </m:r>
              </m:e>
              <m:sub>
                <m:r>
                  <w:rPr>
                    <w:rFonts w:ascii="Cambria Math" w:hAnsi="Cambria Math" w:cs="Simplified Arabic"/>
                    <w:sz w:val="20"/>
                    <w:lang w:val="en-GB"/>
                  </w:rPr>
                  <m:t>i</m:t>
                </m:r>
              </m:sub>
            </m:sSub>
          </m:e>
        </m:nary>
        <m:r>
          <w:rPr>
            <w:rFonts w:ascii="Cambria Math" w:hAnsi="Cambria Math" w:cs="Simplified Arabic"/>
            <w:sz w:val="20"/>
            <w:lang w:val="en-GB"/>
          </w:rPr>
          <m:t>ΔUNEM</m:t>
        </m:r>
        <m:sSub>
          <m:sSubPr>
            <m:ctrlPr>
              <w:rPr>
                <w:rFonts w:ascii="Cambria Math" w:hAnsi="Cambria Math" w:cs="Simplified Arabic"/>
                <w:sz w:val="20"/>
                <w:lang w:val="en-GB"/>
              </w:rPr>
            </m:ctrlPr>
          </m:sSubPr>
          <m:e>
            <m:r>
              <w:rPr>
                <w:rFonts w:ascii="Cambria Math" w:hAnsi="Cambria Math" w:cs="Simplified Arabic"/>
                <w:sz w:val="20"/>
                <w:lang w:val="en-GB"/>
              </w:rPr>
              <m:t>P</m:t>
            </m:r>
          </m:e>
          <m:sub>
            <m:r>
              <w:rPr>
                <w:rFonts w:ascii="Cambria Math" w:hAnsi="Cambria Math" w:cs="Simplified Arabic"/>
                <w:sz w:val="20"/>
                <w:lang w:val="en-GB"/>
              </w:rPr>
              <m:t>t</m:t>
            </m:r>
            <m:r>
              <m:rPr>
                <m:sty m:val="p"/>
              </m:rPr>
              <w:rPr>
                <w:rFonts w:ascii="Cambria Math" w:hAnsi="Cambria Math" w:cs="Simplified Arabic"/>
                <w:sz w:val="20"/>
                <w:lang w:val="en-GB"/>
              </w:rPr>
              <m:t>-</m:t>
            </m:r>
            <m:r>
              <w:rPr>
                <w:rFonts w:ascii="Cambria Math" w:hAnsi="Cambria Math" w:cs="Simplified Arabic"/>
                <w:sz w:val="20"/>
                <w:lang w:val="en-GB"/>
              </w:rPr>
              <m:t>i</m:t>
            </m:r>
          </m:sub>
        </m:sSub>
        <m:r>
          <m:rPr>
            <m:sty m:val="p"/>
          </m:rPr>
          <w:rPr>
            <w:rFonts w:ascii="Cambria Math" w:hAnsi="Cambria Math" w:cs="Simplified Arabic"/>
            <w:sz w:val="20"/>
            <w:lang w:val="en-GB"/>
          </w:rPr>
          <m:t>+</m:t>
        </m:r>
        <m:nary>
          <m:naryPr>
            <m:chr m:val="∑"/>
            <m:limLoc m:val="undOvr"/>
            <m:ctrlPr>
              <w:rPr>
                <w:rFonts w:ascii="Cambria Math" w:hAnsi="Cambria Math" w:cs="Simplified Arabic"/>
                <w:sz w:val="20"/>
                <w:lang w:val="en-GB"/>
              </w:rPr>
            </m:ctrlPr>
          </m:naryPr>
          <m:sub>
            <m:r>
              <w:rPr>
                <w:rFonts w:ascii="Cambria Math" w:hAnsi="Cambria Math" w:cs="Simplified Arabic"/>
                <w:sz w:val="20"/>
                <w:lang w:val="en-GB"/>
              </w:rPr>
              <m:t>m</m:t>
            </m:r>
            <m:r>
              <m:rPr>
                <m:sty m:val="p"/>
              </m:rPr>
              <w:rPr>
                <w:rFonts w:ascii="Cambria Math" w:hAnsi="Cambria Math" w:cs="Simplified Arabic"/>
                <w:sz w:val="20"/>
                <w:lang w:val="en-GB"/>
              </w:rPr>
              <m:t>=</m:t>
            </m:r>
            <m:r>
              <w:rPr>
                <w:rFonts w:ascii="Cambria Math" w:hAnsi="Cambria Math" w:cs="Simplified Arabic"/>
                <w:sz w:val="20"/>
                <w:lang w:val="en-GB"/>
              </w:rPr>
              <m:t>1</m:t>
            </m:r>
          </m:sub>
          <m:sup>
            <m:r>
              <w:rPr>
                <w:rFonts w:ascii="Cambria Math" w:hAnsi="Cambria Math" w:cs="Simplified Arabic"/>
                <w:sz w:val="20"/>
                <w:lang w:val="en-GB"/>
              </w:rPr>
              <m:t>4</m:t>
            </m:r>
          </m:sup>
          <m:e>
            <m:nary>
              <m:naryPr>
                <m:chr m:val="∑"/>
                <m:limLoc m:val="undOvr"/>
                <m:ctrlPr>
                  <w:rPr>
                    <w:rFonts w:ascii="Cambria Math" w:hAnsi="Cambria Math" w:cs="Simplified Arabic"/>
                    <w:sz w:val="20"/>
                    <w:lang w:val="en-GB"/>
                  </w:rPr>
                </m:ctrlPr>
              </m:naryPr>
              <m:sub>
                <m:r>
                  <w:rPr>
                    <w:rFonts w:ascii="Cambria Math" w:hAnsi="Cambria Math" w:cs="Simplified Arabic"/>
                    <w:sz w:val="20"/>
                    <w:lang w:val="en-GB"/>
                  </w:rPr>
                  <m:t>j</m:t>
                </m:r>
                <m:r>
                  <m:rPr>
                    <m:sty m:val="p"/>
                  </m:rPr>
                  <w:rPr>
                    <w:rFonts w:ascii="Cambria Math" w:hAnsi="Cambria Math" w:cs="Simplified Arabic"/>
                    <w:sz w:val="20"/>
                    <w:lang w:val="en-GB"/>
                  </w:rPr>
                  <m:t>=</m:t>
                </m:r>
                <m:r>
                  <w:rPr>
                    <w:rFonts w:ascii="Cambria Math" w:hAnsi="Cambria Math" w:cs="Simplified Arabic"/>
                    <w:sz w:val="20"/>
                    <w:lang w:val="en-GB"/>
                  </w:rPr>
                  <m:t>0</m:t>
                </m:r>
              </m:sub>
              <m:sup>
                <m:sSub>
                  <m:sSubPr>
                    <m:ctrlPr>
                      <w:rPr>
                        <w:rFonts w:ascii="Cambria Math" w:hAnsi="Cambria Math" w:cs="Simplified Arabic"/>
                        <w:sz w:val="20"/>
                        <w:lang w:val="en-GB"/>
                      </w:rPr>
                    </m:ctrlPr>
                  </m:sSubPr>
                  <m:e>
                    <m:r>
                      <w:rPr>
                        <w:rFonts w:ascii="Cambria Math" w:hAnsi="Cambria Math" w:cs="Simplified Arabic"/>
                        <w:sz w:val="20"/>
                        <w:lang w:val="en-GB"/>
                      </w:rPr>
                      <m:t>q</m:t>
                    </m:r>
                  </m:e>
                  <m:sub>
                    <m:r>
                      <w:rPr>
                        <w:rFonts w:ascii="Cambria Math" w:hAnsi="Cambria Math" w:cs="Simplified Arabic"/>
                        <w:sz w:val="20"/>
                        <w:lang w:val="en-GB"/>
                      </w:rPr>
                      <m:t>m</m:t>
                    </m:r>
                  </m:sub>
                </m:sSub>
                <m:r>
                  <m:rPr>
                    <m:sty m:val="p"/>
                  </m:rPr>
                  <w:rPr>
                    <w:rFonts w:ascii="Cambria Math" w:hAnsi="Cambria Math" w:cs="Simplified Arabic"/>
                    <w:sz w:val="20"/>
                    <w:lang w:val="en-GB"/>
                  </w:rPr>
                  <m:t>-</m:t>
                </m:r>
                <m:r>
                  <w:rPr>
                    <w:rFonts w:ascii="Cambria Math" w:hAnsi="Cambria Math" w:cs="Simplified Arabic"/>
                    <w:sz w:val="20"/>
                    <w:lang w:val="en-GB"/>
                  </w:rPr>
                  <m:t>1</m:t>
                </m:r>
              </m:sup>
              <m:e>
                <m:sSub>
                  <m:sSubPr>
                    <m:ctrlPr>
                      <w:rPr>
                        <w:rFonts w:ascii="Cambria Math" w:hAnsi="Cambria Math" w:cs="Simplified Arabic"/>
                        <w:sz w:val="20"/>
                        <w:lang w:val="en-GB"/>
                      </w:rPr>
                    </m:ctrlPr>
                  </m:sSubPr>
                  <m:e>
                    <m:r>
                      <w:rPr>
                        <w:rFonts w:ascii="Cambria Math" w:hAnsi="Cambria Math" w:cs="Simplified Arabic"/>
                        <w:sz w:val="20"/>
                        <w:lang w:val="en-GB"/>
                      </w:rPr>
                      <m:t>ψ</m:t>
                    </m:r>
                  </m:e>
                  <m:sub>
                    <m:r>
                      <w:rPr>
                        <w:rFonts w:ascii="Cambria Math" w:hAnsi="Cambria Math" w:cs="Simplified Arabic"/>
                        <w:sz w:val="20"/>
                        <w:lang w:val="en-GB"/>
                      </w:rPr>
                      <m:t>mj</m:t>
                    </m:r>
                  </m:sub>
                </m:sSub>
              </m:e>
            </m:nary>
          </m:e>
        </m:nary>
        <m:r>
          <w:rPr>
            <w:rFonts w:ascii="Cambria Math" w:hAnsi="Cambria Math" w:cs="Simplified Arabic"/>
            <w:sz w:val="20"/>
            <w:lang w:val="en-GB"/>
          </w:rPr>
          <m:t>Δ</m:t>
        </m:r>
        <m:sSub>
          <m:sSubPr>
            <m:ctrlPr>
              <w:rPr>
                <w:rFonts w:ascii="Cambria Math" w:hAnsi="Cambria Math" w:cs="Simplified Arabic"/>
                <w:sz w:val="20"/>
                <w:lang w:val="en-GB"/>
              </w:rPr>
            </m:ctrlPr>
          </m:sSubPr>
          <m:e>
            <m:r>
              <w:rPr>
                <w:rFonts w:ascii="Cambria Math" w:hAnsi="Cambria Math" w:cs="Simplified Arabic"/>
                <w:sz w:val="20"/>
                <w:lang w:val="en-GB"/>
              </w:rPr>
              <m:t>X</m:t>
            </m:r>
          </m:e>
          <m:sub>
            <m:r>
              <w:rPr>
                <w:rFonts w:ascii="Cambria Math" w:hAnsi="Cambria Math" w:cs="Simplified Arabic"/>
                <w:sz w:val="20"/>
                <w:lang w:val="en-GB"/>
              </w:rPr>
              <m:t>m</m:t>
            </m:r>
            <m:r>
              <m:rPr>
                <m:sty m:val="p"/>
              </m:rPr>
              <w:rPr>
                <w:rFonts w:ascii="Cambria Math" w:hAnsi="Cambria Math" w:cs="Simplified Arabic"/>
                <w:sz w:val="20"/>
                <w:lang w:val="en-GB"/>
              </w:rPr>
              <m:t>,</m:t>
            </m:r>
            <m:r>
              <w:rPr>
                <w:rFonts w:ascii="Cambria Math" w:hAnsi="Cambria Math" w:cs="Simplified Arabic"/>
                <w:sz w:val="20"/>
                <w:lang w:val="en-GB"/>
              </w:rPr>
              <m:t>t</m:t>
            </m:r>
            <m:r>
              <m:rPr>
                <m:sty m:val="p"/>
              </m:rPr>
              <w:rPr>
                <w:rFonts w:ascii="Cambria Math" w:hAnsi="Cambria Math" w:cs="Simplified Arabic"/>
                <w:sz w:val="20"/>
                <w:lang w:val="en-GB"/>
              </w:rPr>
              <m:t>-</m:t>
            </m:r>
            <m:r>
              <w:rPr>
                <w:rFonts w:ascii="Cambria Math" w:hAnsi="Cambria Math" w:cs="Simplified Arabic"/>
                <w:sz w:val="20"/>
                <w:lang w:val="en-GB"/>
              </w:rPr>
              <m:t>j</m:t>
            </m:r>
          </m:sub>
        </m:sSub>
        <m:r>
          <m:rPr>
            <m:sty m:val="p"/>
          </m:rPr>
          <w:rPr>
            <w:rFonts w:ascii="Cambria Math" w:hAnsi="Cambria Math" w:cs="Simplified Arabic"/>
            <w:sz w:val="20"/>
            <w:lang w:val="en-GB"/>
          </w:rPr>
          <m:t>+</m:t>
        </m:r>
        <m:r>
          <w:rPr>
            <w:rFonts w:ascii="Cambria Math" w:hAnsi="Cambria Math" w:cs="Simplified Arabic"/>
            <w:sz w:val="20"/>
            <w:lang w:val="en-GB"/>
          </w:rPr>
          <m:t>ρEC</m:t>
        </m:r>
        <m:sSub>
          <m:sSubPr>
            <m:ctrlPr>
              <w:rPr>
                <w:rFonts w:ascii="Cambria Math" w:hAnsi="Cambria Math" w:cs="Simplified Arabic"/>
                <w:sz w:val="20"/>
                <w:lang w:val="en-GB"/>
              </w:rPr>
            </m:ctrlPr>
          </m:sSubPr>
          <m:e>
            <m:r>
              <w:rPr>
                <w:rFonts w:ascii="Cambria Math" w:hAnsi="Cambria Math" w:cs="Simplified Arabic"/>
                <w:sz w:val="20"/>
                <w:lang w:val="en-GB"/>
              </w:rPr>
              <m:t>T</m:t>
            </m:r>
          </m:e>
          <m:sub>
            <m:r>
              <w:rPr>
                <w:rFonts w:ascii="Cambria Math" w:hAnsi="Cambria Math" w:cs="Simplified Arabic"/>
                <w:sz w:val="20"/>
                <w:lang w:val="en-GB"/>
              </w:rPr>
              <m:t>t</m:t>
            </m:r>
            <m:r>
              <m:rPr>
                <m:sty m:val="p"/>
              </m:rPr>
              <w:rPr>
                <w:rFonts w:ascii="Cambria Math" w:hAnsi="Cambria Math" w:cs="Simplified Arabic"/>
                <w:sz w:val="20"/>
                <w:lang w:val="en-GB"/>
              </w:rPr>
              <m:t>-</m:t>
            </m:r>
            <m:r>
              <w:rPr>
                <w:rFonts w:ascii="Cambria Math" w:hAnsi="Cambria Math" w:cs="Simplified Arabic"/>
                <w:sz w:val="20"/>
                <w:lang w:val="en-GB"/>
              </w:rPr>
              <m:t>1</m:t>
            </m:r>
          </m:sub>
        </m:sSub>
        <m:r>
          <m:rPr>
            <m:sty m:val="p"/>
          </m:rPr>
          <w:rPr>
            <w:rFonts w:ascii="Cambria Math" w:hAnsi="Cambria Math" w:cs="Simplified Arabic"/>
            <w:sz w:val="20"/>
            <w:lang w:val="en-GB"/>
          </w:rPr>
          <m:t>+</m:t>
        </m:r>
        <m:r>
          <w:rPr>
            <w:rFonts w:ascii="Cambria Math" w:hAnsi="Cambria Math" w:cs="Simplified Arabic"/>
            <w:sz w:val="20"/>
            <w:lang w:val="en-GB"/>
          </w:rPr>
          <m:t>λDUM</m:t>
        </m:r>
        <m:sSub>
          <m:sSubPr>
            <m:ctrlPr>
              <w:rPr>
                <w:rFonts w:ascii="Cambria Math" w:hAnsi="Cambria Math" w:cs="Simplified Arabic"/>
                <w:sz w:val="20"/>
                <w:lang w:val="en-GB"/>
              </w:rPr>
            </m:ctrlPr>
          </m:sSubPr>
          <m:e>
            <m:r>
              <w:rPr>
                <w:rFonts w:ascii="Cambria Math" w:hAnsi="Cambria Math" w:cs="Simplified Arabic"/>
                <w:sz w:val="20"/>
                <w:lang w:val="en-GB"/>
              </w:rPr>
              <m:t>2011</m:t>
            </m:r>
          </m:e>
          <m:sub>
            <m:r>
              <w:rPr>
                <w:rFonts w:ascii="Cambria Math" w:hAnsi="Cambria Math" w:cs="Simplified Arabic"/>
                <w:sz w:val="20"/>
                <w:lang w:val="en-GB"/>
              </w:rPr>
              <m:t>t</m:t>
            </m:r>
          </m:sub>
        </m:sSub>
        <m:r>
          <m:rPr>
            <m:sty m:val="p"/>
          </m:rPr>
          <w:rPr>
            <w:rFonts w:ascii="Cambria Math" w:hAnsi="Cambria Math" w:cs="Simplified Arabic"/>
            <w:sz w:val="20"/>
            <w:lang w:val="en-GB"/>
          </w:rPr>
          <m:t>+</m:t>
        </m:r>
        <m:sSub>
          <m:sSubPr>
            <m:ctrlPr>
              <w:rPr>
                <w:rFonts w:ascii="Cambria Math" w:hAnsi="Cambria Math" w:cs="Simplified Arabic"/>
                <w:sz w:val="20"/>
                <w:lang w:val="en-GB"/>
              </w:rPr>
            </m:ctrlPr>
          </m:sSubPr>
          <m:e>
            <m:r>
              <w:rPr>
                <w:rFonts w:ascii="Cambria Math" w:hAnsi="Cambria Math" w:cs="Simplified Arabic"/>
                <w:sz w:val="20"/>
                <w:lang w:val="en-GB"/>
              </w:rPr>
              <m:t>η</m:t>
            </m:r>
          </m:e>
          <m:sub>
            <m:r>
              <w:rPr>
                <w:rFonts w:ascii="Cambria Math" w:hAnsi="Cambria Math" w:cs="Simplified Arabic"/>
                <w:sz w:val="20"/>
                <w:lang w:val="en-GB"/>
              </w:rPr>
              <m:t>t</m:t>
            </m:r>
          </m:sub>
        </m:sSub>
        <m:r>
          <m:rPr>
            <m:sty m:val="p"/>
          </m:rPr>
          <w:rPr>
            <w:rFonts w:ascii="Cambria Math" w:hAnsi="Cambria Math" w:cs="Simplified Arabic"/>
            <w:sz w:val="20"/>
            <w:lang w:val="en-GB"/>
          </w:rPr>
          <m:t xml:space="preserve">,   </m:t>
        </m:r>
      </m:oMath>
      <w:r w:rsidRPr="00B67805">
        <w:rPr>
          <w:rFonts w:ascii="Palatino Linotype" w:eastAsia="Times New Roman" w:hAnsi="Palatino Linotype" w:cs="Simplified Arabic"/>
          <w:b/>
          <w:bCs/>
          <w:sz w:val="20"/>
          <w:lang w:val="en-GB"/>
        </w:rPr>
        <w:tab/>
        <w:t xml:space="preserve">                                     [5]</w:t>
      </w:r>
    </w:p>
    <w:p w14:paraId="22958D8E" w14:textId="77777777" w:rsidR="00587784" w:rsidRPr="00B67805" w:rsidRDefault="00587784" w:rsidP="00D6346F">
      <w:pPr>
        <w:pStyle w:val="BodyText"/>
        <w:spacing w:after="60" w:line="240" w:lineRule="atLeast"/>
        <w:rPr>
          <w:rFonts w:ascii="Palatino Linotype" w:hAnsi="Palatino Linotype" w:cs="Simplified Arabic"/>
          <w:sz w:val="20"/>
          <w:lang w:val="en-GB" w:bidi="ar-EG"/>
        </w:rPr>
      </w:pPr>
      <w:proofErr w:type="gramStart"/>
      <w:r w:rsidRPr="00B67805">
        <w:rPr>
          <w:rFonts w:ascii="Palatino Linotype" w:hAnsi="Palatino Linotype" w:cs="Simplified Arabic"/>
          <w:sz w:val="20"/>
          <w:lang w:val="en-GB" w:bidi="ar-EG"/>
        </w:rPr>
        <w:lastRenderedPageBreak/>
        <w:t>where</w:t>
      </w:r>
      <w:proofErr w:type="gramEnd"/>
    </w:p>
    <w:p w14:paraId="5E6450FC" w14:textId="77777777" w:rsidR="00587784" w:rsidRPr="00B67805" w:rsidRDefault="00000000" w:rsidP="00D6346F">
      <w:pPr>
        <w:pStyle w:val="BodyText"/>
        <w:spacing w:after="60" w:line="240" w:lineRule="atLeast"/>
        <w:rPr>
          <w:rFonts w:ascii="Palatino Linotype" w:hAnsi="Palatino Linotype" w:cs="Simplified Arabic"/>
          <w:sz w:val="20"/>
          <w:lang w:val="en-GB"/>
        </w:rPr>
      </w:pPr>
      <m:oMathPara>
        <m:oMath>
          <m:sSub>
            <m:sSubPr>
              <m:ctrlPr>
                <w:rPr>
                  <w:rFonts w:ascii="Cambria Math" w:hAnsi="Cambria Math" w:cs="Simplified Arabic"/>
                  <w:sz w:val="20"/>
                  <w:lang w:val="en-GB"/>
                </w:rPr>
              </m:ctrlPr>
            </m:sSubPr>
            <m:e>
              <m:r>
                <w:rPr>
                  <w:rFonts w:ascii="Cambria Math" w:hAnsi="Cambria Math" w:cs="Simplified Arabic"/>
                  <w:sz w:val="20"/>
                  <w:lang w:val="en-GB"/>
                </w:rPr>
                <m:t>X</m:t>
              </m:r>
            </m:e>
            <m:sub>
              <m:r>
                <w:rPr>
                  <w:rFonts w:ascii="Cambria Math" w:hAnsi="Cambria Math" w:cs="Simplified Arabic"/>
                  <w:sz w:val="20"/>
                  <w:lang w:val="en-GB"/>
                </w:rPr>
                <m:t>t</m:t>
              </m:r>
            </m:sub>
          </m:sSub>
          <m:r>
            <m:rPr>
              <m:sty m:val="p"/>
            </m:rPr>
            <w:rPr>
              <w:rFonts w:ascii="Cambria Math" w:hAnsi="Cambria Math" w:cs="Simplified Arabic"/>
              <w:sz w:val="20"/>
              <w:lang w:val="en-GB"/>
            </w:rPr>
            <m:t>=</m:t>
          </m:r>
          <m:sSup>
            <m:sSupPr>
              <m:ctrlPr>
                <w:rPr>
                  <w:rFonts w:ascii="Cambria Math" w:hAnsi="Cambria Math" w:cs="Simplified Arabic"/>
                  <w:sz w:val="20"/>
                  <w:lang w:val="en-GB"/>
                </w:rPr>
              </m:ctrlPr>
            </m:sSupPr>
            <m:e>
              <m:d>
                <m:dPr>
                  <m:ctrlPr>
                    <w:rPr>
                      <w:rFonts w:ascii="Cambria Math" w:hAnsi="Cambria Math" w:cs="Simplified Arabic"/>
                      <w:sz w:val="20"/>
                      <w:lang w:val="en-GB"/>
                    </w:rPr>
                  </m:ctrlPr>
                </m:dPr>
                <m:e>
                  <m:r>
                    <w:rPr>
                      <w:rFonts w:ascii="Cambria Math" w:hAnsi="Cambria Math" w:cs="Simplified Arabic"/>
                      <w:sz w:val="20"/>
                      <w:lang w:val="en-GB"/>
                    </w:rPr>
                    <m:t>GFC</m:t>
                  </m:r>
                  <m:sSub>
                    <m:sSubPr>
                      <m:ctrlPr>
                        <w:rPr>
                          <w:rFonts w:ascii="Cambria Math" w:hAnsi="Cambria Math" w:cs="Simplified Arabic"/>
                          <w:sz w:val="20"/>
                          <w:lang w:val="en-GB"/>
                        </w:rPr>
                      </m:ctrlPr>
                    </m:sSubPr>
                    <m:e>
                      <m:r>
                        <w:rPr>
                          <w:rFonts w:ascii="Cambria Math" w:hAnsi="Cambria Math" w:cs="Simplified Arabic"/>
                          <w:sz w:val="20"/>
                          <w:lang w:val="en-GB"/>
                        </w:rPr>
                        <m:t>F</m:t>
                      </m:r>
                    </m:e>
                    <m:sub>
                      <m:r>
                        <w:rPr>
                          <w:rFonts w:ascii="Cambria Math" w:hAnsi="Cambria Math" w:cs="Simplified Arabic"/>
                          <w:sz w:val="20"/>
                          <w:lang w:val="en-GB"/>
                        </w:rPr>
                        <m:t>t</m:t>
                      </m:r>
                    </m:sub>
                  </m:sSub>
                  <m:r>
                    <m:rPr>
                      <m:sty m:val="p"/>
                    </m:rPr>
                    <w:rPr>
                      <w:rFonts w:ascii="Cambria Math" w:hAnsi="Cambria Math" w:cs="Simplified Arabic"/>
                      <w:sz w:val="20"/>
                      <w:lang w:val="en-GB"/>
                    </w:rPr>
                    <m:t>,</m:t>
                  </m:r>
                  <m:r>
                    <w:rPr>
                      <w:rFonts w:ascii="Cambria Math" w:hAnsi="Cambria Math" w:cs="Simplified Arabic"/>
                      <w:sz w:val="20"/>
                      <w:lang w:val="en-GB"/>
                    </w:rPr>
                    <m:t> ED</m:t>
                  </m:r>
                  <m:sSub>
                    <m:sSubPr>
                      <m:ctrlPr>
                        <w:rPr>
                          <w:rFonts w:ascii="Cambria Math" w:hAnsi="Cambria Math" w:cs="Simplified Arabic"/>
                          <w:sz w:val="20"/>
                          <w:lang w:val="en-GB"/>
                        </w:rPr>
                      </m:ctrlPr>
                    </m:sSubPr>
                    <m:e>
                      <m:r>
                        <w:rPr>
                          <w:rFonts w:ascii="Cambria Math" w:hAnsi="Cambria Math" w:cs="Simplified Arabic"/>
                          <w:sz w:val="20"/>
                          <w:lang w:val="en-GB"/>
                        </w:rPr>
                        <m:t>U</m:t>
                      </m:r>
                    </m:e>
                    <m:sub>
                      <m:r>
                        <w:rPr>
                          <w:rFonts w:ascii="Cambria Math" w:hAnsi="Cambria Math" w:cs="Simplified Arabic"/>
                          <w:sz w:val="20"/>
                          <w:lang w:val="en-GB"/>
                        </w:rPr>
                        <m:t>t</m:t>
                      </m:r>
                    </m:sub>
                  </m:sSub>
                  <m:r>
                    <m:rPr>
                      <m:sty m:val="p"/>
                    </m:rPr>
                    <w:rPr>
                      <w:rFonts w:ascii="Cambria Math" w:hAnsi="Cambria Math" w:cs="Simplified Arabic"/>
                      <w:sz w:val="20"/>
                      <w:lang w:val="en-GB"/>
                    </w:rPr>
                    <m:t>,</m:t>
                  </m:r>
                  <m:r>
                    <w:rPr>
                      <w:rFonts w:ascii="Cambria Math" w:hAnsi="Cambria Math" w:cs="Simplified Arabic"/>
                      <w:sz w:val="20"/>
                      <w:lang w:val="en-GB"/>
                    </w:rPr>
                    <m:t> LBBN</m:t>
                  </m:r>
                  <m:sSub>
                    <m:sSubPr>
                      <m:ctrlPr>
                        <w:rPr>
                          <w:rFonts w:ascii="Cambria Math" w:hAnsi="Cambria Math" w:cs="Simplified Arabic"/>
                          <w:sz w:val="20"/>
                          <w:lang w:val="en-GB"/>
                        </w:rPr>
                      </m:ctrlPr>
                    </m:sSubPr>
                    <m:e>
                      <m:r>
                        <w:rPr>
                          <w:rFonts w:ascii="Cambria Math" w:hAnsi="Cambria Math" w:cs="Simplified Arabic"/>
                          <w:sz w:val="20"/>
                          <w:lang w:val="en-GB"/>
                        </w:rPr>
                        <m:t>D</m:t>
                      </m:r>
                    </m:e>
                    <m:sub>
                      <m:r>
                        <w:rPr>
                          <w:rFonts w:ascii="Cambria Math" w:hAnsi="Cambria Math" w:cs="Simplified Arabic"/>
                          <w:sz w:val="20"/>
                          <w:lang w:val="en-GB"/>
                        </w:rPr>
                        <m:t>t</m:t>
                      </m:r>
                    </m:sub>
                  </m:sSub>
                  <m:r>
                    <m:rPr>
                      <m:sty m:val="p"/>
                    </m:rPr>
                    <w:rPr>
                      <w:rFonts w:ascii="Cambria Math" w:hAnsi="Cambria Math" w:cs="Simplified Arabic"/>
                      <w:sz w:val="20"/>
                      <w:lang w:val="en-GB"/>
                    </w:rPr>
                    <m:t>,</m:t>
                  </m:r>
                  <m:r>
                    <w:rPr>
                      <w:rFonts w:ascii="Cambria Math" w:hAnsi="Cambria Math" w:cs="Simplified Arabic"/>
                      <w:sz w:val="20"/>
                      <w:lang w:val="en-GB"/>
                    </w:rPr>
                    <m:t> EDUBBN</m:t>
                  </m:r>
                  <m:sSub>
                    <m:sSubPr>
                      <m:ctrlPr>
                        <w:rPr>
                          <w:rFonts w:ascii="Cambria Math" w:hAnsi="Cambria Math" w:cs="Simplified Arabic"/>
                          <w:sz w:val="20"/>
                          <w:lang w:val="en-GB"/>
                        </w:rPr>
                      </m:ctrlPr>
                    </m:sSubPr>
                    <m:e>
                      <m:r>
                        <w:rPr>
                          <w:rFonts w:ascii="Cambria Math" w:hAnsi="Cambria Math" w:cs="Simplified Arabic"/>
                          <w:sz w:val="20"/>
                          <w:lang w:val="en-GB"/>
                        </w:rPr>
                        <m:t>D</m:t>
                      </m:r>
                    </m:e>
                    <m:sub>
                      <m:r>
                        <w:rPr>
                          <w:rFonts w:ascii="Cambria Math" w:hAnsi="Cambria Math" w:cs="Simplified Arabic"/>
                          <w:sz w:val="20"/>
                          <w:lang w:val="en-GB"/>
                        </w:rPr>
                        <m:t>C</m:t>
                      </m:r>
                      <m:r>
                        <m:rPr>
                          <m:sty m:val="p"/>
                        </m:rPr>
                        <w:rPr>
                          <w:rFonts w:ascii="Cambria Math" w:hAnsi="Cambria Math" w:cs="Simplified Arabic"/>
                          <w:sz w:val="20"/>
                          <w:lang w:val="en-GB"/>
                        </w:rPr>
                        <m:t>,</m:t>
                      </m:r>
                      <m:r>
                        <w:rPr>
                          <w:rFonts w:ascii="Cambria Math" w:hAnsi="Cambria Math" w:cs="Simplified Arabic"/>
                          <w:sz w:val="20"/>
                          <w:lang w:val="en-GB"/>
                        </w:rPr>
                        <m:t>t</m:t>
                      </m:r>
                    </m:sub>
                  </m:sSub>
                </m:e>
              </m:d>
            </m:e>
            <m:sup>
              <m:r>
                <m:rPr>
                  <m:sty m:val="p"/>
                </m:rPr>
                <w:rPr>
                  <w:rFonts w:ascii="Cambria Math" w:hAnsi="Cambria Math" w:cs="Simplified Arabic"/>
                  <w:sz w:val="20"/>
                  <w:lang w:val="en-GB"/>
                </w:rPr>
                <m:t>'</m:t>
              </m:r>
            </m:sup>
          </m:sSup>
          <m:r>
            <m:rPr>
              <m:sty m:val="p"/>
            </m:rPr>
            <w:rPr>
              <w:rFonts w:ascii="Cambria Math" w:hAnsi="Cambria Math" w:cs="Simplified Arabic"/>
              <w:sz w:val="20"/>
              <w:lang w:val="en-GB"/>
            </w:rPr>
            <m:t>.</m:t>
          </m:r>
        </m:oMath>
      </m:oMathPara>
    </w:p>
    <w:p w14:paraId="4983A990" w14:textId="77777777" w:rsidR="00587784" w:rsidRPr="00B67805" w:rsidRDefault="00587784" w:rsidP="00D6346F">
      <w:pPr>
        <w:spacing w:after="60" w:line="240" w:lineRule="atLeast"/>
        <w:ind w:firstLine="630"/>
        <w:rPr>
          <w:rFonts w:ascii="Palatino Linotype" w:eastAsia="Times New Roman" w:hAnsi="Palatino Linotype" w:cs="Simplified Arabic"/>
          <w:lang w:val="en-GB"/>
        </w:rPr>
      </w:pPr>
      <w:r w:rsidRPr="00B67805">
        <w:rPr>
          <w:rFonts w:ascii="Palatino Linotype" w:eastAsia="Times New Roman" w:hAnsi="Palatino Linotype" w:cs="Simplified Arabic"/>
          <w:lang w:val="en-GB"/>
        </w:rPr>
        <w:t xml:space="preserve">In equation (5), </w:t>
      </w:r>
      <m:oMath>
        <m:sSub>
          <m:sSubPr>
            <m:ctrlPr>
              <w:rPr>
                <w:rFonts w:ascii="Cambria Math" w:hAnsi="Cambria Math" w:cs="Simplified Arabic"/>
                <w:lang w:val="en-GB"/>
              </w:rPr>
            </m:ctrlPr>
          </m:sSubPr>
          <m:e>
            <m:r>
              <w:rPr>
                <w:rFonts w:ascii="Cambria Math" w:hAnsi="Cambria Math" w:cs="Simplified Arabic"/>
                <w:lang w:val="en-GB"/>
              </w:rPr>
              <m:t>q</m:t>
            </m:r>
          </m:e>
          <m:sub>
            <m:r>
              <w:rPr>
                <w:rFonts w:ascii="Cambria Math" w:hAnsi="Cambria Math" w:cs="Simplified Arabic"/>
                <w:lang w:val="en-GB"/>
              </w:rPr>
              <m:t>m</m:t>
            </m:r>
          </m:sub>
        </m:sSub>
      </m:oMath>
      <w:r w:rsidRPr="00B67805">
        <w:rPr>
          <w:rFonts w:ascii="Palatino Linotype" w:eastAsia="Times New Roman" w:hAnsi="Palatino Linotype" w:cs="Simplified Arabic"/>
          <w:lang w:val="en-GB"/>
        </w:rPr>
        <w:t xml:space="preserve"> denotes the lag order selected for the </w:t>
      </w:r>
      <m:oMath>
        <m:r>
          <w:rPr>
            <w:rFonts w:ascii="Cambria Math" w:hAnsi="Cambria Math" w:cs="Simplified Arabic"/>
            <w:lang w:val="en-GB"/>
          </w:rPr>
          <m:t>m</m:t>
        </m:r>
      </m:oMath>
      <w:r w:rsidRPr="00B67805">
        <w:rPr>
          <w:rFonts w:ascii="Palatino Linotype" w:eastAsia="Times New Roman" w:hAnsi="Palatino Linotype" w:cs="Simplified Arabic"/>
          <w:lang w:val="en-GB"/>
        </w:rPr>
        <w:t xml:space="preserve">th explanatory variable, and the coefficients </w:t>
      </w:r>
      <m:oMath>
        <m:sSub>
          <m:sSubPr>
            <m:ctrlPr>
              <w:rPr>
                <w:rFonts w:ascii="Cambria Math" w:hAnsi="Cambria Math" w:cs="Simplified Arabic"/>
                <w:lang w:val="en-GB"/>
              </w:rPr>
            </m:ctrlPr>
          </m:sSubPr>
          <m:e>
            <m:r>
              <w:rPr>
                <w:rFonts w:ascii="Cambria Math" w:hAnsi="Cambria Math" w:cs="Simplified Arabic"/>
                <w:lang w:val="en-GB"/>
              </w:rPr>
              <m:t>ψ</m:t>
            </m:r>
          </m:e>
          <m:sub>
            <m:r>
              <w:rPr>
                <w:rFonts w:ascii="Cambria Math" w:hAnsi="Cambria Math" w:cs="Simplified Arabic"/>
                <w:lang w:val="en-GB"/>
              </w:rPr>
              <m:t>mj</m:t>
            </m:r>
          </m:sub>
        </m:sSub>
      </m:oMath>
      <w:r w:rsidRPr="00B67805">
        <w:rPr>
          <w:rFonts w:ascii="Palatino Linotype" w:eastAsia="Times New Roman" w:hAnsi="Palatino Linotype" w:cs="Simplified Arabic"/>
          <w:lang w:val="en-GB"/>
        </w:rPr>
        <w:t xml:space="preserve"> capture short-run effects. </w:t>
      </w:r>
      <m:oMath>
        <m:r>
          <w:rPr>
            <w:rFonts w:ascii="Cambria Math" w:hAnsi="Cambria Math" w:cs="Simplified Arabic"/>
            <w:lang w:val="en-GB"/>
          </w:rPr>
          <m:t>EC</m:t>
        </m:r>
        <m:sSub>
          <m:sSubPr>
            <m:ctrlPr>
              <w:rPr>
                <w:rFonts w:ascii="Cambria Math" w:hAnsi="Cambria Math" w:cs="Simplified Arabic"/>
                <w:lang w:val="en-GB"/>
              </w:rPr>
            </m:ctrlPr>
          </m:sSubPr>
          <m:e>
            <m:r>
              <w:rPr>
                <w:rFonts w:ascii="Cambria Math" w:hAnsi="Cambria Math" w:cs="Simplified Arabic"/>
                <w:lang w:val="en-GB"/>
              </w:rPr>
              <m:t>T</m:t>
            </m:r>
          </m:e>
          <m:sub>
            <m:r>
              <w:rPr>
                <w:rFonts w:ascii="Cambria Math" w:hAnsi="Cambria Math" w:cs="Simplified Arabic"/>
                <w:lang w:val="en-GB"/>
              </w:rPr>
              <m:t>t</m:t>
            </m:r>
            <m:r>
              <m:rPr>
                <m:sty m:val="p"/>
              </m:rPr>
              <w:rPr>
                <w:rFonts w:ascii="Cambria Math" w:hAnsi="Cambria Math" w:cs="Simplified Arabic"/>
                <w:lang w:val="en-GB"/>
              </w:rPr>
              <m:t>-</m:t>
            </m:r>
            <m:r>
              <w:rPr>
                <w:rFonts w:ascii="Cambria Math" w:hAnsi="Cambria Math" w:cs="Simplified Arabic"/>
                <w:lang w:val="en-GB"/>
              </w:rPr>
              <m:t>1</m:t>
            </m:r>
          </m:sub>
        </m:sSub>
      </m:oMath>
      <w:r w:rsidRPr="00B67805">
        <w:rPr>
          <w:rFonts w:ascii="Palatino Linotype" w:eastAsia="Times New Roman" w:hAnsi="Palatino Linotype" w:cs="Simplified Arabic"/>
          <w:lang w:val="en-GB"/>
        </w:rPr>
        <w:t xml:space="preserve"> is the lagged deviation from the estimated long-run equilibrium, while </w:t>
      </w:r>
      <m:oMath>
        <m:r>
          <w:rPr>
            <w:rFonts w:ascii="Cambria Math" w:hAnsi="Cambria Math" w:cs="Simplified Arabic"/>
            <w:lang w:val="en-GB"/>
          </w:rPr>
          <m:t>ρ</m:t>
        </m:r>
      </m:oMath>
      <w:r w:rsidRPr="00B67805">
        <w:rPr>
          <w:rFonts w:ascii="Palatino Linotype" w:eastAsia="Times New Roman" w:hAnsi="Palatino Linotype" w:cs="Simplified Arabic"/>
          <w:lang w:val="en-GB"/>
        </w:rPr>
        <w:t xml:space="preserve"> measures the speed at which unemployment adjusts back towards that equilibrium following a short-run disturbance. A negative adjustment coefficient is required for convergence; its absolute magnitude indicates the proportion of the preceding period's disequilibrium corrected within one year.</w:t>
      </w:r>
    </w:p>
    <w:p w14:paraId="5B0CE73B" w14:textId="77777777" w:rsidR="00587784" w:rsidRPr="00D6346F" w:rsidRDefault="00587784" w:rsidP="00D6346F">
      <w:pPr>
        <w:spacing w:before="240" w:after="60" w:line="240" w:lineRule="atLeast"/>
        <w:rPr>
          <w:rFonts w:ascii="Palatino Linotype" w:eastAsia="Times New Roman" w:hAnsi="Palatino Linotype" w:cs="Simplified Arabic"/>
          <w:b/>
          <w:bCs/>
          <w:lang w:val="en-GB"/>
        </w:rPr>
      </w:pPr>
      <w:r w:rsidRPr="00D6346F">
        <w:rPr>
          <w:rFonts w:ascii="Palatino Linotype" w:eastAsia="Times New Roman" w:hAnsi="Palatino Linotype" w:cs="Simplified Arabic"/>
          <w:b/>
          <w:bCs/>
          <w:sz w:val="22"/>
          <w:szCs w:val="22"/>
          <w:lang w:val="en-GB"/>
        </w:rPr>
        <w:t>4.2.5 Estimation, Inference, and Diagnostic Evaluation</w:t>
      </w:r>
    </w:p>
    <w:p w14:paraId="190FAE2F"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To strengthen inference in the presence of potential heteroskedasticity and serial dependence, heteroskedasticity- and autocorrelation-consistent (HAC) covariance estimates are employed following Newey and West (1987). Robust standard errors affect statistical inference but do not alter the underlying coefficient estimates; consequently, they are considered together with formal residual diagnostics for model checking.</w:t>
      </w:r>
    </w:p>
    <w:p w14:paraId="0999FC32" w14:textId="77777777" w:rsidR="00587784" w:rsidRPr="00B67805" w:rsidRDefault="00587784" w:rsidP="00D6346F">
      <w:pPr>
        <w:spacing w:after="60" w:line="240" w:lineRule="atLeast"/>
        <w:ind w:firstLine="630"/>
        <w:rPr>
          <w:rFonts w:ascii="Palatino Linotype" w:hAnsi="Palatino Linotype" w:cs="Simplified Arabic"/>
          <w:lang w:val="en-GB" w:bidi="ar-EG"/>
        </w:rPr>
      </w:pPr>
      <w:r w:rsidRPr="00B67805">
        <w:rPr>
          <w:rFonts w:ascii="Palatino Linotype" w:hAnsi="Palatino Linotype" w:cs="Simplified Arabic"/>
          <w:lang w:val="en-GB" w:bidi="ar-EG"/>
        </w:rPr>
        <w:t>The statistical adequacy of the selected ARDL specification is evaluated using a battery of complementary diagnostic tests. Residual normality is assessed using the Jarque–Bera test (Jarque &amp; Bera, 1980). Serial correlation is examined using the Breusch–Godfrey LM test, which is appropriate for dynamic regressions with lagged dependent variables (Godfrey, 1978). Heteroskedasticity is assessed using the Breusch–Pagan–Godfrey procedure (Breusch &amp; Pagan, 1979), while functional-form adequacy is examined using the Ramsey RESET test (Ramsey, 1969). Finally, parameter stability is evaluated through the CUSUM and CUSUM of Squares tests based on recursive residuals (Brown, Durbin, &amp; Evans, 1975). The long- and short-run estimates are interpreted only after the bounds, residual diagnostics, and stability evidence provide adequate support for the estimated specification.</w:t>
      </w:r>
    </w:p>
    <w:p w14:paraId="736CC9B3" w14:textId="77777777" w:rsidR="00587784" w:rsidRPr="00D6346F" w:rsidRDefault="00587784" w:rsidP="00D6346F">
      <w:pPr>
        <w:numPr>
          <w:ilvl w:val="0"/>
          <w:numId w:val="15"/>
        </w:numPr>
        <w:spacing w:before="240" w:after="60" w:line="240" w:lineRule="atLeast"/>
        <w:ind w:left="426"/>
        <w:rPr>
          <w:rFonts w:ascii="Palatino Linotype" w:hAnsi="Palatino Linotype" w:cs="Simplified Arabic"/>
          <w:b/>
          <w:bCs/>
          <w:sz w:val="24"/>
          <w:szCs w:val="24"/>
          <w:lang w:val="en-GB" w:bidi="ar-EG"/>
        </w:rPr>
      </w:pPr>
      <w:r w:rsidRPr="00D6346F">
        <w:rPr>
          <w:rFonts w:ascii="Palatino Linotype" w:hAnsi="Palatino Linotype" w:cs="Simplified Arabic"/>
          <w:b/>
          <w:bCs/>
          <w:sz w:val="24"/>
          <w:szCs w:val="24"/>
          <w:lang w:val="en-GB" w:bidi="ar-EG"/>
        </w:rPr>
        <w:t xml:space="preserve"> Empirical Results</w:t>
      </w:r>
    </w:p>
    <w:p w14:paraId="2F82D96E" w14:textId="77777777" w:rsidR="00587784" w:rsidRPr="00D6346F" w:rsidRDefault="00587784" w:rsidP="00D6346F">
      <w:pPr>
        <w:spacing w:after="60" w:line="240" w:lineRule="atLeast"/>
        <w:rPr>
          <w:rFonts w:ascii="Palatino Linotype" w:hAnsi="Palatino Linotype" w:cs="Simplified Arabic"/>
          <w:b/>
          <w:bCs/>
          <w:sz w:val="22"/>
          <w:szCs w:val="22"/>
          <w:lang w:val="en-GB" w:bidi="ar-EG"/>
        </w:rPr>
      </w:pPr>
      <w:r w:rsidRPr="00D6346F">
        <w:rPr>
          <w:rFonts w:ascii="Palatino Linotype" w:hAnsi="Palatino Linotype" w:cs="Simplified Arabic"/>
          <w:b/>
          <w:bCs/>
          <w:sz w:val="22"/>
          <w:szCs w:val="22"/>
          <w:lang w:val="en-GB"/>
        </w:rPr>
        <w:t xml:space="preserve">5.1 </w:t>
      </w:r>
      <w:r w:rsidRPr="00D6346F">
        <w:rPr>
          <w:rFonts w:ascii="Palatino Linotype" w:hAnsi="Palatino Linotype" w:cs="Simplified Arabic"/>
          <w:b/>
          <w:bCs/>
          <w:sz w:val="22"/>
          <w:szCs w:val="22"/>
          <w:lang w:val="en-GB" w:bidi="ar-EG"/>
        </w:rPr>
        <w:t>Preliminary Analysis and Unit Root Tests</w:t>
      </w:r>
    </w:p>
    <w:p w14:paraId="49DC1F1C" w14:textId="77777777" w:rsidR="00587784" w:rsidRPr="00B67805" w:rsidRDefault="00587784" w:rsidP="00D6346F">
      <w:pPr>
        <w:spacing w:after="60" w:line="240" w:lineRule="atLeast"/>
        <w:ind w:firstLine="360"/>
        <w:rPr>
          <w:rFonts w:ascii="Palatino Linotype" w:hAnsi="Palatino Linotype" w:cs="Simplified Arabic"/>
          <w:lang w:val="en-GB" w:bidi="ar-EG"/>
        </w:rPr>
      </w:pPr>
      <w:r w:rsidRPr="00B67805">
        <w:rPr>
          <w:rFonts w:ascii="Palatino Linotype" w:hAnsi="Palatino Linotype" w:cs="Simplified Arabic"/>
          <w:lang w:val="en-GB" w:bidi="ar-EG"/>
        </w:rPr>
        <w:t>This subsection provides a preliminary examination of the data before estimating the ARDL models. It presents descriptive statistics, graphical trend analysis, correlation analysis, and unit root tests to assess the behaviour of the variables and establish their suitability for ARDL estimation.</w:t>
      </w:r>
    </w:p>
    <w:p w14:paraId="1CA26052" w14:textId="77777777" w:rsidR="00587784" w:rsidRPr="00B67805" w:rsidRDefault="00587784" w:rsidP="00D6346F">
      <w:pPr>
        <w:spacing w:after="60" w:line="240" w:lineRule="atLeast"/>
        <w:ind w:firstLine="360"/>
        <w:rPr>
          <w:rFonts w:ascii="Palatino Linotype" w:hAnsi="Palatino Linotype" w:cs="Simplified Arabic"/>
          <w:b/>
          <w:bCs/>
          <w:lang w:val="en-GB"/>
        </w:rPr>
      </w:pPr>
      <w:r w:rsidRPr="00B67805">
        <w:rPr>
          <w:rFonts w:ascii="Palatino Linotype" w:hAnsi="Palatino Linotype" w:cs="Simplified Arabic"/>
          <w:b/>
          <w:bCs/>
          <w:lang w:val="en-GB"/>
        </w:rPr>
        <w:t>Table</w:t>
      </w:r>
      <w:r w:rsidRPr="00B67805">
        <w:rPr>
          <w:rFonts w:ascii="Times New Roman" w:hAnsi="Times New Roman" w:cs="Simplified Arabic"/>
          <w:b/>
          <w:bCs/>
          <w:lang w:val="en-GB"/>
        </w:rPr>
        <w:t> </w:t>
      </w:r>
      <w:r w:rsidRPr="00B67805">
        <w:rPr>
          <w:rFonts w:ascii="Palatino Linotype" w:hAnsi="Palatino Linotype" w:cs="Simplified Arabic"/>
          <w:b/>
          <w:bCs/>
          <w:lang w:val="en-GB"/>
        </w:rPr>
        <w:t>2: Descriptive Statistics of the Variables Used in the Analysis</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5"/>
        <w:gridCol w:w="1170"/>
        <w:gridCol w:w="1078"/>
        <w:gridCol w:w="810"/>
        <w:gridCol w:w="990"/>
        <w:gridCol w:w="1725"/>
      </w:tblGrid>
      <w:tr w:rsidR="00587784" w:rsidRPr="00B67805" w14:paraId="5DD7528A" w14:textId="77777777" w:rsidTr="00D6346F">
        <w:trPr>
          <w:tblHeader/>
          <w:jc w:val="center"/>
        </w:trPr>
        <w:tc>
          <w:tcPr>
            <w:tcW w:w="2325" w:type="dxa"/>
            <w:shd w:val="clear" w:color="auto" w:fill="F2F2F2" w:themeFill="background1" w:themeFillShade="F2"/>
          </w:tcPr>
          <w:p w14:paraId="1C55F9E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Statistics</w:t>
            </w:r>
          </w:p>
        </w:tc>
        <w:tc>
          <w:tcPr>
            <w:tcW w:w="1170" w:type="dxa"/>
            <w:shd w:val="clear" w:color="auto" w:fill="F2F2F2" w:themeFill="background1" w:themeFillShade="F2"/>
          </w:tcPr>
          <w:p w14:paraId="296059F9"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UNEMP</w:t>
            </w:r>
          </w:p>
        </w:tc>
        <w:tc>
          <w:tcPr>
            <w:tcW w:w="1078" w:type="dxa"/>
            <w:shd w:val="clear" w:color="auto" w:fill="F2F2F2" w:themeFill="background1" w:themeFillShade="F2"/>
          </w:tcPr>
          <w:p w14:paraId="70687D7F"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LBBND</w:t>
            </w:r>
          </w:p>
        </w:tc>
        <w:tc>
          <w:tcPr>
            <w:tcW w:w="810" w:type="dxa"/>
            <w:shd w:val="clear" w:color="auto" w:fill="F2F2F2" w:themeFill="background1" w:themeFillShade="F2"/>
          </w:tcPr>
          <w:p w14:paraId="73A35B6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w:t>
            </w:r>
          </w:p>
        </w:tc>
        <w:tc>
          <w:tcPr>
            <w:tcW w:w="990" w:type="dxa"/>
            <w:shd w:val="clear" w:color="auto" w:fill="F2F2F2" w:themeFill="background1" w:themeFillShade="F2"/>
          </w:tcPr>
          <w:p w14:paraId="5CF5AE5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GFCF</w:t>
            </w:r>
          </w:p>
        </w:tc>
        <w:tc>
          <w:tcPr>
            <w:tcW w:w="1725" w:type="dxa"/>
            <w:shd w:val="clear" w:color="auto" w:fill="F2F2F2" w:themeFill="background1" w:themeFillShade="F2"/>
          </w:tcPr>
          <w:p w14:paraId="582D5309"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EDUBBNDC</w:t>
            </w:r>
          </w:p>
        </w:tc>
      </w:tr>
      <w:tr w:rsidR="00587784" w:rsidRPr="00B67805" w14:paraId="6E39FC77" w14:textId="77777777" w:rsidTr="00744F37">
        <w:trPr>
          <w:jc w:val="center"/>
        </w:trPr>
        <w:tc>
          <w:tcPr>
            <w:tcW w:w="2325" w:type="dxa"/>
          </w:tcPr>
          <w:p w14:paraId="288662E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Mean</w:t>
            </w:r>
          </w:p>
        </w:tc>
        <w:tc>
          <w:tcPr>
            <w:tcW w:w="1170" w:type="dxa"/>
          </w:tcPr>
          <w:p w14:paraId="468D31E7"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9.93</w:t>
            </w:r>
          </w:p>
        </w:tc>
        <w:tc>
          <w:tcPr>
            <w:tcW w:w="1078" w:type="dxa"/>
          </w:tcPr>
          <w:p w14:paraId="31C039A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0.569</w:t>
            </w:r>
          </w:p>
        </w:tc>
        <w:tc>
          <w:tcPr>
            <w:tcW w:w="810" w:type="dxa"/>
          </w:tcPr>
          <w:p w14:paraId="36712B4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31.10</w:t>
            </w:r>
          </w:p>
        </w:tc>
        <w:tc>
          <w:tcPr>
            <w:tcW w:w="990" w:type="dxa"/>
          </w:tcPr>
          <w:p w14:paraId="2E968B6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16.78</w:t>
            </w:r>
          </w:p>
        </w:tc>
        <w:tc>
          <w:tcPr>
            <w:tcW w:w="1725" w:type="dxa"/>
          </w:tcPr>
          <w:p w14:paraId="606DC56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4.906</w:t>
            </w:r>
          </w:p>
        </w:tc>
      </w:tr>
      <w:tr w:rsidR="00587784" w:rsidRPr="00B67805" w14:paraId="6CAB8C3F" w14:textId="77777777" w:rsidTr="00744F37">
        <w:trPr>
          <w:jc w:val="center"/>
        </w:trPr>
        <w:tc>
          <w:tcPr>
            <w:tcW w:w="2325" w:type="dxa"/>
          </w:tcPr>
          <w:p w14:paraId="4197667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Median</w:t>
            </w:r>
          </w:p>
        </w:tc>
        <w:tc>
          <w:tcPr>
            <w:tcW w:w="1170" w:type="dxa"/>
          </w:tcPr>
          <w:p w14:paraId="6842487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9.93</w:t>
            </w:r>
          </w:p>
        </w:tc>
        <w:tc>
          <w:tcPr>
            <w:tcW w:w="1078" w:type="dxa"/>
          </w:tcPr>
          <w:p w14:paraId="51E3767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1.032</w:t>
            </w:r>
          </w:p>
        </w:tc>
        <w:tc>
          <w:tcPr>
            <w:tcW w:w="810" w:type="dxa"/>
          </w:tcPr>
          <w:p w14:paraId="1E43AC2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29.19</w:t>
            </w:r>
          </w:p>
        </w:tc>
        <w:tc>
          <w:tcPr>
            <w:tcW w:w="990" w:type="dxa"/>
          </w:tcPr>
          <w:p w14:paraId="252F817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16.83</w:t>
            </w:r>
          </w:p>
        </w:tc>
        <w:tc>
          <w:tcPr>
            <w:tcW w:w="1725" w:type="dxa"/>
          </w:tcPr>
          <w:p w14:paraId="2A85DE3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3.482</w:t>
            </w:r>
          </w:p>
        </w:tc>
      </w:tr>
      <w:tr w:rsidR="00587784" w:rsidRPr="00B67805" w14:paraId="119DC3B1" w14:textId="77777777" w:rsidTr="00744F37">
        <w:trPr>
          <w:jc w:val="center"/>
        </w:trPr>
        <w:tc>
          <w:tcPr>
            <w:tcW w:w="2325" w:type="dxa"/>
          </w:tcPr>
          <w:p w14:paraId="0C302EAC"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Maximum</w:t>
            </w:r>
          </w:p>
        </w:tc>
        <w:tc>
          <w:tcPr>
            <w:tcW w:w="1170" w:type="dxa"/>
          </w:tcPr>
          <w:p w14:paraId="2F7B319C"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13.15</w:t>
            </w:r>
          </w:p>
        </w:tc>
        <w:tc>
          <w:tcPr>
            <w:tcW w:w="1078" w:type="dxa"/>
          </w:tcPr>
          <w:p w14:paraId="242AFF3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2.458</w:t>
            </w:r>
          </w:p>
        </w:tc>
        <w:tc>
          <w:tcPr>
            <w:tcW w:w="810" w:type="dxa"/>
          </w:tcPr>
          <w:p w14:paraId="208CEC9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38.77</w:t>
            </w:r>
          </w:p>
        </w:tc>
        <w:tc>
          <w:tcPr>
            <w:tcW w:w="990" w:type="dxa"/>
          </w:tcPr>
          <w:p w14:paraId="595E3FD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22.27</w:t>
            </w:r>
          </w:p>
        </w:tc>
        <w:tc>
          <w:tcPr>
            <w:tcW w:w="1725" w:type="dxa"/>
          </w:tcPr>
          <w:p w14:paraId="0FC4F2A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rtl/>
                <w:lang w:val="en-GB" w:bidi="ar-EG"/>
              </w:rPr>
            </w:pPr>
            <w:r w:rsidRPr="00B67805">
              <w:rPr>
                <w:rFonts w:ascii="Palatino Linotype" w:hAnsi="Palatino Linotype" w:cs="Simplified Arabic"/>
                <w:b/>
                <w:bCs/>
                <w:sz w:val="20"/>
                <w:szCs w:val="20"/>
                <w:lang w:val="en-GB" w:bidi="ar-EG"/>
              </w:rPr>
              <w:t>16.365</w:t>
            </w:r>
          </w:p>
        </w:tc>
      </w:tr>
      <w:tr w:rsidR="00587784" w:rsidRPr="00B67805" w14:paraId="6F0F1ECE" w14:textId="77777777" w:rsidTr="00744F37">
        <w:trPr>
          <w:jc w:val="center"/>
        </w:trPr>
        <w:tc>
          <w:tcPr>
            <w:tcW w:w="2325" w:type="dxa"/>
          </w:tcPr>
          <w:p w14:paraId="6C691AA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lastRenderedPageBreak/>
              <w:t>Minimum</w:t>
            </w:r>
          </w:p>
        </w:tc>
        <w:tc>
          <w:tcPr>
            <w:tcW w:w="1170" w:type="dxa"/>
          </w:tcPr>
          <w:p w14:paraId="1730E2E6"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6.54</w:t>
            </w:r>
          </w:p>
        </w:tc>
        <w:tc>
          <w:tcPr>
            <w:tcW w:w="1078" w:type="dxa"/>
          </w:tcPr>
          <w:p w14:paraId="497D3DD6"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-2.705</w:t>
            </w:r>
          </w:p>
        </w:tc>
        <w:tc>
          <w:tcPr>
            <w:tcW w:w="810" w:type="dxa"/>
          </w:tcPr>
          <w:p w14:paraId="64BA21F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25.59</w:t>
            </w:r>
          </w:p>
        </w:tc>
        <w:tc>
          <w:tcPr>
            <w:tcW w:w="990" w:type="dxa"/>
          </w:tcPr>
          <w:p w14:paraId="53B6F2A7"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11.69</w:t>
            </w:r>
          </w:p>
        </w:tc>
        <w:tc>
          <w:tcPr>
            <w:tcW w:w="1725" w:type="dxa"/>
          </w:tcPr>
          <w:p w14:paraId="2C87C14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-1.607</w:t>
            </w:r>
          </w:p>
        </w:tc>
      </w:tr>
      <w:tr w:rsidR="00587784" w:rsidRPr="00B67805" w14:paraId="03AAECDE" w14:textId="77777777" w:rsidTr="00744F37">
        <w:trPr>
          <w:jc w:val="center"/>
        </w:trPr>
        <w:tc>
          <w:tcPr>
            <w:tcW w:w="2325" w:type="dxa"/>
          </w:tcPr>
          <w:p w14:paraId="321DA66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Std. Dev</w:t>
            </w:r>
          </w:p>
        </w:tc>
        <w:tc>
          <w:tcPr>
            <w:tcW w:w="1170" w:type="dxa"/>
          </w:tcPr>
          <w:p w14:paraId="3685375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2.13</w:t>
            </w:r>
          </w:p>
        </w:tc>
        <w:tc>
          <w:tcPr>
            <w:tcW w:w="1078" w:type="dxa"/>
          </w:tcPr>
          <w:p w14:paraId="2FA93630"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1.677</w:t>
            </w:r>
          </w:p>
        </w:tc>
        <w:tc>
          <w:tcPr>
            <w:tcW w:w="810" w:type="dxa"/>
          </w:tcPr>
          <w:p w14:paraId="099095A6"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4.07</w:t>
            </w:r>
          </w:p>
        </w:tc>
        <w:tc>
          <w:tcPr>
            <w:tcW w:w="990" w:type="dxa"/>
          </w:tcPr>
          <w:p w14:paraId="0AC9BC5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2.59</w:t>
            </w:r>
          </w:p>
        </w:tc>
        <w:tc>
          <w:tcPr>
            <w:tcW w:w="1725" w:type="dxa"/>
          </w:tcPr>
          <w:p w14:paraId="784B814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5.268</w:t>
            </w:r>
          </w:p>
        </w:tc>
      </w:tr>
      <w:tr w:rsidR="00587784" w:rsidRPr="00B67805" w14:paraId="37B7D6DC" w14:textId="77777777" w:rsidTr="00744F37">
        <w:trPr>
          <w:jc w:val="center"/>
        </w:trPr>
        <w:tc>
          <w:tcPr>
            <w:tcW w:w="2325" w:type="dxa"/>
          </w:tcPr>
          <w:p w14:paraId="4F4DA82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Skewness</w:t>
            </w:r>
          </w:p>
        </w:tc>
        <w:tc>
          <w:tcPr>
            <w:tcW w:w="1170" w:type="dxa"/>
          </w:tcPr>
          <w:p w14:paraId="713815FC"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0.02</w:t>
            </w:r>
          </w:p>
        </w:tc>
        <w:tc>
          <w:tcPr>
            <w:tcW w:w="1078" w:type="dxa"/>
          </w:tcPr>
          <w:p w14:paraId="0FB06B7F"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-0.758</w:t>
            </w:r>
          </w:p>
        </w:tc>
        <w:tc>
          <w:tcPr>
            <w:tcW w:w="810" w:type="dxa"/>
          </w:tcPr>
          <w:p w14:paraId="7E189FD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0.52</w:t>
            </w:r>
          </w:p>
        </w:tc>
        <w:tc>
          <w:tcPr>
            <w:tcW w:w="990" w:type="dxa"/>
          </w:tcPr>
          <w:p w14:paraId="11B981A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-0.10</w:t>
            </w:r>
          </w:p>
        </w:tc>
        <w:tc>
          <w:tcPr>
            <w:tcW w:w="1725" w:type="dxa"/>
          </w:tcPr>
          <w:p w14:paraId="14AFCF7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0.552</w:t>
            </w:r>
          </w:p>
        </w:tc>
      </w:tr>
      <w:tr w:rsidR="00587784" w:rsidRPr="00B67805" w14:paraId="330C62F1" w14:textId="77777777" w:rsidTr="00744F37">
        <w:trPr>
          <w:jc w:val="center"/>
        </w:trPr>
        <w:tc>
          <w:tcPr>
            <w:tcW w:w="2325" w:type="dxa"/>
          </w:tcPr>
          <w:p w14:paraId="22BA97B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Kurtosis</w:t>
            </w:r>
          </w:p>
        </w:tc>
        <w:tc>
          <w:tcPr>
            <w:tcW w:w="1170" w:type="dxa"/>
          </w:tcPr>
          <w:p w14:paraId="6B5AAFC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1.81</w:t>
            </w:r>
          </w:p>
        </w:tc>
        <w:tc>
          <w:tcPr>
            <w:tcW w:w="1078" w:type="dxa"/>
          </w:tcPr>
          <w:p w14:paraId="11173C6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2.333</w:t>
            </w:r>
          </w:p>
        </w:tc>
        <w:tc>
          <w:tcPr>
            <w:tcW w:w="810" w:type="dxa"/>
          </w:tcPr>
          <w:p w14:paraId="437497F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1.95</w:t>
            </w:r>
          </w:p>
        </w:tc>
        <w:tc>
          <w:tcPr>
            <w:tcW w:w="990" w:type="dxa"/>
          </w:tcPr>
          <w:p w14:paraId="6AF72EE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2.67</w:t>
            </w:r>
          </w:p>
        </w:tc>
        <w:tc>
          <w:tcPr>
            <w:tcW w:w="1725" w:type="dxa"/>
          </w:tcPr>
          <w:p w14:paraId="27CE5E8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2.154</w:t>
            </w:r>
          </w:p>
        </w:tc>
      </w:tr>
      <w:tr w:rsidR="00587784" w:rsidRPr="00B67805" w14:paraId="425CBACD" w14:textId="77777777" w:rsidTr="00744F37">
        <w:trPr>
          <w:jc w:val="center"/>
        </w:trPr>
        <w:tc>
          <w:tcPr>
            <w:tcW w:w="2325" w:type="dxa"/>
          </w:tcPr>
          <w:p w14:paraId="7D3C767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 xml:space="preserve">Jarque-Bera              </w:t>
            </w:r>
            <w:proofErr w:type="gramStart"/>
            <w:r w:rsidRPr="00B67805">
              <w:rPr>
                <w:rFonts w:ascii="Palatino Linotype" w:hAnsi="Palatino Linotype" w:cs="Simplified Arabic"/>
                <w:b/>
                <w:bCs/>
                <w:sz w:val="18"/>
                <w:szCs w:val="18"/>
                <w:lang w:val="en-GB"/>
              </w:rPr>
              <w:t xml:space="preserve">   (</w:t>
            </w:r>
            <w:proofErr w:type="gramEnd"/>
            <w:r w:rsidRPr="00B67805">
              <w:rPr>
                <w:rFonts w:ascii="Palatino Linotype" w:hAnsi="Palatino Linotype" w:cs="Simplified Arabic"/>
                <w:b/>
                <w:bCs/>
                <w:sz w:val="18"/>
                <w:szCs w:val="18"/>
                <w:lang w:val="en-GB"/>
              </w:rPr>
              <w:t>p-value)</w:t>
            </w:r>
          </w:p>
        </w:tc>
        <w:tc>
          <w:tcPr>
            <w:tcW w:w="1170" w:type="dxa"/>
          </w:tcPr>
          <w:p w14:paraId="139A896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 xml:space="preserve">1.41  </w:t>
            </w:r>
            <w:proofErr w:type="gramStart"/>
            <w:r w:rsidRPr="00B67805">
              <w:rPr>
                <w:rFonts w:ascii="Palatino Linotype" w:hAnsi="Palatino Linotype" w:cs="Simplified Arabic"/>
                <w:b/>
                <w:bCs/>
                <w:sz w:val="20"/>
                <w:szCs w:val="20"/>
                <w:lang w:val="en-GB"/>
              </w:rPr>
              <w:t xml:space="preserve">   (</w:t>
            </w:r>
            <w:proofErr w:type="gramEnd"/>
            <w:r w:rsidRPr="00B67805">
              <w:rPr>
                <w:rFonts w:ascii="Palatino Linotype" w:hAnsi="Palatino Linotype" w:cs="Simplified Arabic"/>
                <w:b/>
                <w:bCs/>
                <w:sz w:val="20"/>
                <w:szCs w:val="20"/>
                <w:lang w:val="en-GB"/>
              </w:rPr>
              <w:t>0.49)</w:t>
            </w:r>
          </w:p>
        </w:tc>
        <w:tc>
          <w:tcPr>
            <w:tcW w:w="1078" w:type="dxa"/>
          </w:tcPr>
          <w:p w14:paraId="2A9709B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 xml:space="preserve"> 2.631  </w:t>
            </w:r>
            <w:proofErr w:type="gramStart"/>
            <w:r w:rsidRPr="00B67805">
              <w:rPr>
                <w:rFonts w:ascii="Palatino Linotype" w:hAnsi="Palatino Linotype" w:cs="Simplified Arabic"/>
                <w:b/>
                <w:bCs/>
                <w:sz w:val="20"/>
                <w:szCs w:val="20"/>
                <w:lang w:val="en-GB"/>
              </w:rPr>
              <w:t xml:space="preserve">   (</w:t>
            </w:r>
            <w:proofErr w:type="gramEnd"/>
            <w:r w:rsidRPr="00B67805">
              <w:rPr>
                <w:rFonts w:ascii="Palatino Linotype" w:hAnsi="Palatino Linotype" w:cs="Simplified Arabic"/>
                <w:b/>
                <w:bCs/>
                <w:sz w:val="20"/>
                <w:szCs w:val="20"/>
                <w:lang w:val="en-GB"/>
              </w:rPr>
              <w:t>0.26)</w:t>
            </w:r>
          </w:p>
        </w:tc>
        <w:tc>
          <w:tcPr>
            <w:tcW w:w="810" w:type="dxa"/>
          </w:tcPr>
          <w:p w14:paraId="7F5C99A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rtl/>
                <w:lang w:val="en-GB" w:bidi="ar-EG"/>
              </w:rPr>
            </w:pPr>
            <w:r w:rsidRPr="00B67805">
              <w:rPr>
                <w:rFonts w:ascii="Palatino Linotype" w:hAnsi="Palatino Linotype" w:cs="Simplified Arabic"/>
                <w:b/>
                <w:bCs/>
                <w:sz w:val="20"/>
                <w:szCs w:val="20"/>
                <w:lang w:val="en-GB"/>
              </w:rPr>
              <w:t xml:space="preserve"> 2.18 (0.33)</w:t>
            </w:r>
          </w:p>
        </w:tc>
        <w:tc>
          <w:tcPr>
            <w:tcW w:w="990" w:type="dxa"/>
          </w:tcPr>
          <w:p w14:paraId="1E7EA1C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0.149 (0.92)</w:t>
            </w:r>
          </w:p>
        </w:tc>
        <w:tc>
          <w:tcPr>
            <w:tcW w:w="1725" w:type="dxa"/>
          </w:tcPr>
          <w:p w14:paraId="7B107B7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 xml:space="preserve">1.856          </w:t>
            </w:r>
            <w:proofErr w:type="gramStart"/>
            <w:r w:rsidRPr="00B67805">
              <w:rPr>
                <w:rFonts w:ascii="Palatino Linotype" w:hAnsi="Palatino Linotype" w:cs="Simplified Arabic"/>
                <w:b/>
                <w:bCs/>
                <w:sz w:val="20"/>
                <w:szCs w:val="20"/>
                <w:lang w:val="en-GB"/>
              </w:rPr>
              <w:t xml:space="preserve">   (</w:t>
            </w:r>
            <w:proofErr w:type="gramEnd"/>
            <w:r w:rsidRPr="00B67805">
              <w:rPr>
                <w:rFonts w:ascii="Palatino Linotype" w:hAnsi="Palatino Linotype" w:cs="Simplified Arabic"/>
                <w:b/>
                <w:bCs/>
                <w:sz w:val="20"/>
                <w:szCs w:val="20"/>
                <w:lang w:val="en-GB"/>
              </w:rPr>
              <w:t>0.39)</w:t>
            </w:r>
          </w:p>
        </w:tc>
      </w:tr>
      <w:tr w:rsidR="00587784" w:rsidRPr="00B67805" w14:paraId="2D782220" w14:textId="77777777" w:rsidTr="00744F37">
        <w:trPr>
          <w:jc w:val="center"/>
        </w:trPr>
        <w:tc>
          <w:tcPr>
            <w:tcW w:w="2325" w:type="dxa"/>
          </w:tcPr>
          <w:p w14:paraId="7A77240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Obs.</w:t>
            </w:r>
          </w:p>
        </w:tc>
        <w:tc>
          <w:tcPr>
            <w:tcW w:w="1170" w:type="dxa"/>
          </w:tcPr>
          <w:p w14:paraId="47AD6340"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w:t>
            </w:r>
          </w:p>
        </w:tc>
        <w:tc>
          <w:tcPr>
            <w:tcW w:w="1078" w:type="dxa"/>
          </w:tcPr>
          <w:p w14:paraId="61C57846"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w:t>
            </w:r>
          </w:p>
        </w:tc>
        <w:tc>
          <w:tcPr>
            <w:tcW w:w="810" w:type="dxa"/>
          </w:tcPr>
          <w:p w14:paraId="6FA3F017"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w:t>
            </w:r>
          </w:p>
        </w:tc>
        <w:tc>
          <w:tcPr>
            <w:tcW w:w="990" w:type="dxa"/>
          </w:tcPr>
          <w:p w14:paraId="7F3E9A50"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w:t>
            </w:r>
          </w:p>
        </w:tc>
        <w:tc>
          <w:tcPr>
            <w:tcW w:w="1725" w:type="dxa"/>
          </w:tcPr>
          <w:p w14:paraId="1FB2E7E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23</w:t>
            </w:r>
          </w:p>
        </w:tc>
      </w:tr>
    </w:tbl>
    <w:p w14:paraId="74C1F3D9" w14:textId="77777777" w:rsidR="00587784" w:rsidRPr="00B67805" w:rsidRDefault="00587784" w:rsidP="00D6346F">
      <w:pPr>
        <w:spacing w:after="60" w:line="240" w:lineRule="atLeast"/>
        <w:ind w:firstLine="540"/>
        <w:rPr>
          <w:rFonts w:ascii="Palatino Linotype" w:hAnsi="Palatino Linotype" w:cs="Simplified Arabic"/>
          <w:sz w:val="18"/>
          <w:szCs w:val="18"/>
          <w:lang w:val="en-GB" w:bidi="ar-EG"/>
        </w:rPr>
      </w:pPr>
      <w:r w:rsidRPr="00B67805">
        <w:rPr>
          <w:rFonts w:ascii="Palatino Linotype" w:hAnsi="Palatino Linotype" w:cs="Simplified Arabic"/>
          <w:lang w:val="en-GB" w:bidi="ar-EG"/>
        </w:rPr>
        <w:t xml:space="preserve">Table (2) presents the descriptive statistics of the variables used in the empirical analysis. The unemployment rate (UNEMP) average is 9.93% over the study period, ranging from 6.54% to 13.15%, with a standard deviation of 2.13, indicating moderate variation. The natural logarithm of fixed broadband subscriptions (LBBND) has a mean of 0.569 and greater dispersion, ranging from −2.705 to 2.458. The negative minimum value of (LBBND) is economically plausible because the logarithm of a positive value below one is negative and reflects the very low level of broadband subscriptions per 100 people during the early years of the sample. Tertiary school enrolment (EDU) averages 31.10%, whereas gross fixed capital formation (GFCF) averages 16.78% of GDP, with both variables displaying relatively moderate variation. The mean-centred education–broadband interaction term (EDUBBNDC) has a mean of 4.906 and a range of -1.607 to 16.365. The Jarque–Bera results indicate that the null hypothesis of normality cannot be rejected for (UNEMP), (LBBND), (EDU), (GFCF), and (EDUBBNDC), since their </w:t>
      </w:r>
      <w:r w:rsidRPr="00B67805">
        <w:rPr>
          <w:rFonts w:ascii="Palatino Linotype" w:hAnsi="Palatino Linotype" w:cs="Simplified Arabic"/>
          <w:i/>
          <w:iCs/>
          <w:lang w:val="en-GB" w:bidi="ar-EG"/>
        </w:rPr>
        <w:t>p</w:t>
      </w:r>
      <w:r w:rsidRPr="00B67805">
        <w:rPr>
          <w:rFonts w:ascii="Palatino Linotype" w:hAnsi="Palatino Linotype" w:cs="Simplified Arabic"/>
          <w:lang w:val="en-GB" w:bidi="ar-EG"/>
        </w:rPr>
        <w:t xml:space="preserve">-values exceed 0.05. </w:t>
      </w:r>
    </w:p>
    <w:p w14:paraId="4FB4BDF2" w14:textId="77777777" w:rsidR="00587784" w:rsidRPr="00B67805" w:rsidRDefault="00587784" w:rsidP="00D6346F">
      <w:pPr>
        <w:spacing w:after="60" w:line="240" w:lineRule="atLeast"/>
        <w:ind w:left="-450" w:right="-244"/>
        <w:jc w:val="center"/>
        <w:rPr>
          <w:rFonts w:ascii="Palatino Linotype" w:hAnsi="Palatino Linotype" w:cs="Simplified Arabic"/>
          <w:b/>
          <w:bCs/>
          <w:lang w:val="en-GB"/>
        </w:rPr>
      </w:pPr>
      <w:r w:rsidRPr="00B67805">
        <w:rPr>
          <w:rFonts w:ascii="Palatino Linotype" w:hAnsi="Palatino Linotype" w:cs="Simplified Arabic"/>
          <w:b/>
          <w:bCs/>
          <w:lang w:val="en-GB"/>
        </w:rPr>
        <w:t>Table 3: Pearson Correlation Matrix for the Variables Included in the Empirical Analysis</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2"/>
        <w:gridCol w:w="1151"/>
        <w:gridCol w:w="1078"/>
        <w:gridCol w:w="1038"/>
        <w:gridCol w:w="1347"/>
        <w:gridCol w:w="1878"/>
      </w:tblGrid>
      <w:tr w:rsidR="00587784" w:rsidRPr="00B67805" w14:paraId="7FD0539F" w14:textId="77777777" w:rsidTr="00744F37">
        <w:trPr>
          <w:trHeight w:val="38"/>
          <w:jc w:val="center"/>
        </w:trPr>
        <w:tc>
          <w:tcPr>
            <w:tcW w:w="1522" w:type="dxa"/>
          </w:tcPr>
          <w:p w14:paraId="63E7DF5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Variable</w:t>
            </w:r>
          </w:p>
        </w:tc>
        <w:tc>
          <w:tcPr>
            <w:tcW w:w="1151" w:type="dxa"/>
          </w:tcPr>
          <w:p w14:paraId="516F815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UNEMP</w:t>
            </w:r>
          </w:p>
        </w:tc>
        <w:tc>
          <w:tcPr>
            <w:tcW w:w="1078" w:type="dxa"/>
          </w:tcPr>
          <w:p w14:paraId="3DC2C38C"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LBBND</w:t>
            </w:r>
          </w:p>
        </w:tc>
        <w:tc>
          <w:tcPr>
            <w:tcW w:w="1038" w:type="dxa"/>
          </w:tcPr>
          <w:p w14:paraId="73D4A7E0"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w:t>
            </w:r>
          </w:p>
        </w:tc>
        <w:tc>
          <w:tcPr>
            <w:tcW w:w="1347" w:type="dxa"/>
          </w:tcPr>
          <w:p w14:paraId="40392A4C"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GFCF</w:t>
            </w:r>
          </w:p>
        </w:tc>
        <w:tc>
          <w:tcPr>
            <w:tcW w:w="1878" w:type="dxa"/>
          </w:tcPr>
          <w:p w14:paraId="6C186B1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EDUBBNDC</w:t>
            </w:r>
          </w:p>
        </w:tc>
      </w:tr>
      <w:tr w:rsidR="00587784" w:rsidRPr="00B67805" w14:paraId="1000391C" w14:textId="77777777" w:rsidTr="00744F37">
        <w:trPr>
          <w:trHeight w:val="38"/>
          <w:jc w:val="center"/>
        </w:trPr>
        <w:tc>
          <w:tcPr>
            <w:tcW w:w="1522" w:type="dxa"/>
          </w:tcPr>
          <w:p w14:paraId="7625030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UNEMP</w:t>
            </w:r>
          </w:p>
        </w:tc>
        <w:tc>
          <w:tcPr>
            <w:tcW w:w="1151" w:type="dxa"/>
          </w:tcPr>
          <w:p w14:paraId="04F3198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w:t>
            </w:r>
          </w:p>
        </w:tc>
        <w:tc>
          <w:tcPr>
            <w:tcW w:w="1078" w:type="dxa"/>
          </w:tcPr>
          <w:p w14:paraId="7D267FF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038" w:type="dxa"/>
          </w:tcPr>
          <w:p w14:paraId="49073A16"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347" w:type="dxa"/>
          </w:tcPr>
          <w:p w14:paraId="354C297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878" w:type="dxa"/>
          </w:tcPr>
          <w:p w14:paraId="45DED0E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r>
      <w:tr w:rsidR="00587784" w:rsidRPr="00B67805" w14:paraId="4A2A8BC5" w14:textId="77777777" w:rsidTr="00744F37">
        <w:trPr>
          <w:trHeight w:val="38"/>
          <w:jc w:val="center"/>
        </w:trPr>
        <w:tc>
          <w:tcPr>
            <w:tcW w:w="1522" w:type="dxa"/>
          </w:tcPr>
          <w:p w14:paraId="739B93D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LBBND</w:t>
            </w:r>
          </w:p>
        </w:tc>
        <w:tc>
          <w:tcPr>
            <w:tcW w:w="1151" w:type="dxa"/>
          </w:tcPr>
          <w:p w14:paraId="32830FBF"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-0.278</w:t>
            </w:r>
          </w:p>
        </w:tc>
        <w:tc>
          <w:tcPr>
            <w:tcW w:w="1078" w:type="dxa"/>
          </w:tcPr>
          <w:p w14:paraId="68FFE33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w:t>
            </w:r>
          </w:p>
        </w:tc>
        <w:tc>
          <w:tcPr>
            <w:tcW w:w="1038" w:type="dxa"/>
          </w:tcPr>
          <w:p w14:paraId="3BBD4E4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347" w:type="dxa"/>
          </w:tcPr>
          <w:p w14:paraId="6870358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878" w:type="dxa"/>
          </w:tcPr>
          <w:p w14:paraId="33C29067"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r>
      <w:tr w:rsidR="00587784" w:rsidRPr="00B67805" w14:paraId="00B487AA" w14:textId="77777777" w:rsidTr="00744F37">
        <w:trPr>
          <w:trHeight w:val="38"/>
          <w:jc w:val="center"/>
        </w:trPr>
        <w:tc>
          <w:tcPr>
            <w:tcW w:w="1522" w:type="dxa"/>
          </w:tcPr>
          <w:p w14:paraId="5D40E1E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w:t>
            </w:r>
          </w:p>
        </w:tc>
        <w:tc>
          <w:tcPr>
            <w:tcW w:w="1151" w:type="dxa"/>
          </w:tcPr>
          <w:p w14:paraId="1D28276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-0.612</w:t>
            </w:r>
          </w:p>
        </w:tc>
        <w:tc>
          <w:tcPr>
            <w:tcW w:w="1078" w:type="dxa"/>
          </w:tcPr>
          <w:p w14:paraId="287B656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0.744</w:t>
            </w:r>
          </w:p>
        </w:tc>
        <w:tc>
          <w:tcPr>
            <w:tcW w:w="1038" w:type="dxa"/>
          </w:tcPr>
          <w:p w14:paraId="20ED8D2A"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w:t>
            </w:r>
          </w:p>
        </w:tc>
        <w:tc>
          <w:tcPr>
            <w:tcW w:w="1347" w:type="dxa"/>
          </w:tcPr>
          <w:p w14:paraId="544D43F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c>
          <w:tcPr>
            <w:tcW w:w="1878" w:type="dxa"/>
          </w:tcPr>
          <w:p w14:paraId="333483E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r>
      <w:tr w:rsidR="00587784" w:rsidRPr="00B67805" w14:paraId="563F4B3C" w14:textId="77777777" w:rsidTr="00744F37">
        <w:trPr>
          <w:trHeight w:val="38"/>
          <w:jc w:val="center"/>
        </w:trPr>
        <w:tc>
          <w:tcPr>
            <w:tcW w:w="1522" w:type="dxa"/>
          </w:tcPr>
          <w:p w14:paraId="28C54353"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GFCF</w:t>
            </w:r>
          </w:p>
        </w:tc>
        <w:tc>
          <w:tcPr>
            <w:tcW w:w="1151" w:type="dxa"/>
          </w:tcPr>
          <w:p w14:paraId="32B4945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-0.393</w:t>
            </w:r>
          </w:p>
        </w:tc>
        <w:tc>
          <w:tcPr>
            <w:tcW w:w="1078" w:type="dxa"/>
          </w:tcPr>
          <w:p w14:paraId="54AB434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-0.330</w:t>
            </w:r>
          </w:p>
        </w:tc>
        <w:tc>
          <w:tcPr>
            <w:tcW w:w="1038" w:type="dxa"/>
          </w:tcPr>
          <w:p w14:paraId="4941CEE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-0.163</w:t>
            </w:r>
          </w:p>
        </w:tc>
        <w:tc>
          <w:tcPr>
            <w:tcW w:w="1347" w:type="dxa"/>
          </w:tcPr>
          <w:p w14:paraId="7CAC5C78"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w:t>
            </w:r>
          </w:p>
        </w:tc>
        <w:tc>
          <w:tcPr>
            <w:tcW w:w="1878" w:type="dxa"/>
          </w:tcPr>
          <w:p w14:paraId="7B6469E4"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p>
        </w:tc>
      </w:tr>
      <w:tr w:rsidR="00587784" w:rsidRPr="00B67805" w14:paraId="79FDBB22" w14:textId="77777777" w:rsidTr="00744F37">
        <w:trPr>
          <w:trHeight w:val="38"/>
          <w:jc w:val="center"/>
        </w:trPr>
        <w:tc>
          <w:tcPr>
            <w:tcW w:w="1522" w:type="dxa"/>
          </w:tcPr>
          <w:p w14:paraId="55361CEE"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EDUBBNDC</w:t>
            </w:r>
          </w:p>
        </w:tc>
        <w:tc>
          <w:tcPr>
            <w:tcW w:w="1151" w:type="dxa"/>
          </w:tcPr>
          <w:p w14:paraId="1800B207"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-0.558</w:t>
            </w:r>
          </w:p>
        </w:tc>
        <w:tc>
          <w:tcPr>
            <w:tcW w:w="1078" w:type="dxa"/>
          </w:tcPr>
          <w:p w14:paraId="6DBA68AB"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-0.134</w:t>
            </w:r>
          </w:p>
        </w:tc>
        <w:tc>
          <w:tcPr>
            <w:tcW w:w="1038" w:type="dxa"/>
          </w:tcPr>
          <w:p w14:paraId="234E55D1"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0.427</w:t>
            </w:r>
          </w:p>
        </w:tc>
        <w:tc>
          <w:tcPr>
            <w:tcW w:w="1347" w:type="dxa"/>
          </w:tcPr>
          <w:p w14:paraId="0F3F09C5"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-0.033</w:t>
            </w:r>
          </w:p>
        </w:tc>
        <w:tc>
          <w:tcPr>
            <w:tcW w:w="1878" w:type="dxa"/>
          </w:tcPr>
          <w:p w14:paraId="0066920D"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20"/>
                <w:szCs w:val="20"/>
                <w:lang w:val="en-GB"/>
              </w:rPr>
              <w:t>1</w:t>
            </w:r>
          </w:p>
        </w:tc>
      </w:tr>
      <w:tr w:rsidR="00587784" w:rsidRPr="00B67805" w14:paraId="424EFE57" w14:textId="77777777" w:rsidTr="00744F37">
        <w:trPr>
          <w:trHeight w:val="38"/>
          <w:jc w:val="center"/>
        </w:trPr>
        <w:tc>
          <w:tcPr>
            <w:tcW w:w="8014" w:type="dxa"/>
            <w:gridSpan w:val="6"/>
          </w:tcPr>
          <w:p w14:paraId="16011352" w14:textId="77777777" w:rsidR="00587784" w:rsidRPr="00B67805" w:rsidRDefault="00587784" w:rsidP="00D6346F">
            <w:pPr>
              <w:pStyle w:val="ds-markdown-paragraph"/>
              <w:spacing w:before="0" w:beforeAutospacing="0" w:after="60" w:afterAutospacing="0" w:line="240" w:lineRule="atLeast"/>
              <w:rPr>
                <w:rFonts w:ascii="Palatino Linotype" w:hAnsi="Palatino Linotype" w:cs="Simplified Arabic"/>
                <w:b/>
                <w:bCs/>
                <w:sz w:val="20"/>
                <w:szCs w:val="20"/>
                <w:lang w:val="en-GB"/>
              </w:rPr>
            </w:pPr>
            <w:r w:rsidRPr="00B67805">
              <w:rPr>
                <w:rFonts w:ascii="Palatino Linotype" w:hAnsi="Palatino Linotype" w:cs="Simplified Arabic"/>
                <w:b/>
                <w:bCs/>
                <w:sz w:val="18"/>
                <w:szCs w:val="18"/>
                <w:lang w:val="en-GB"/>
              </w:rPr>
              <w:t xml:space="preserve">Source: </w:t>
            </w:r>
            <w:r w:rsidRPr="00B67805">
              <w:rPr>
                <w:rFonts w:ascii="Palatino Linotype" w:hAnsi="Palatino Linotype" w:cs="Simplified Arabic"/>
                <w:sz w:val="18"/>
                <w:szCs w:val="18"/>
                <w:lang w:val="en-GB"/>
              </w:rPr>
              <w:t>Author's calculations based on EViews 12.</w:t>
            </w:r>
          </w:p>
        </w:tc>
      </w:tr>
    </w:tbl>
    <w:p w14:paraId="2EBFEC37" w14:textId="77777777" w:rsidR="00587784" w:rsidRPr="00B67805" w:rsidRDefault="00587784" w:rsidP="00D6346F">
      <w:pPr>
        <w:spacing w:after="60" w:line="240" w:lineRule="atLeast"/>
        <w:ind w:firstLine="510"/>
        <w:rPr>
          <w:rFonts w:ascii="Palatino Linotype" w:hAnsi="Palatino Linotype" w:cs="Simplified Arabic"/>
          <w:lang w:val="en-GB" w:bidi="ar-EG"/>
        </w:rPr>
      </w:pPr>
      <w:r w:rsidRPr="00B67805">
        <w:rPr>
          <w:rFonts w:ascii="Palatino Linotype" w:hAnsi="Palatino Linotype" w:cs="Simplified Arabic"/>
          <w:lang w:val="en-GB" w:bidi="ar-EG"/>
        </w:rPr>
        <w:t xml:space="preserve">Table (3) presents the Pearson correlation coefficients for the variables included in the fixed-broadband specification. There are negative correlations between unemployment and fixed broadband subscriptions (-0.278), tertiary school enrolment (-0.612), gross fixed capital formation (-0.393), and the centred education–broadband interaction term (-0.558). The relatively stronger negative correlation between unemployment and (EDUBBNDC) suggests that the association between broadband development and labour-market outcomes may </w:t>
      </w:r>
      <w:r w:rsidRPr="00B67805">
        <w:rPr>
          <w:rFonts w:ascii="Palatino Linotype" w:hAnsi="Palatino Linotype" w:cs="Simplified Arabic"/>
          <w:lang w:val="en-GB" w:bidi="ar-EG"/>
        </w:rPr>
        <w:lastRenderedPageBreak/>
        <w:t>become more favourable when digital expansion is accompanied by stronger human-capital capability. The largest correlation among the explanatory variables is between (LBBND) and (EDU), at (0.744), while the correlations of (EDUBBNDC) with (LBBND) and (EDU) are only (-0.134) and (0.427), respectively. It is worth mentioning that none of the pairwise correlations among the explanatory variables exceeds (0.80), suggesting that severe pairwise multicollinearity is unlikely to be a major concern.</w:t>
      </w:r>
    </w:p>
    <w:p w14:paraId="13D5D792" w14:textId="77777777" w:rsidR="00587784" w:rsidRPr="00B67805" w:rsidRDefault="00587784" w:rsidP="00D6346F">
      <w:pPr>
        <w:spacing w:after="60" w:line="240" w:lineRule="atLeast"/>
        <w:rPr>
          <w:rFonts w:ascii="Palatino Linotype" w:hAnsi="Palatino Linotype" w:cs="Simplified Arabic"/>
          <w:rtl/>
          <w:lang w:val="en-GB" w:bidi="ar-EG"/>
        </w:rPr>
      </w:pPr>
      <w:r w:rsidRPr="00B67805">
        <w:rPr>
          <w:rFonts w:ascii="Palatino Linotype" w:hAnsi="Palatino Linotype" w:cs="Simplified Arabic"/>
          <w:lang w:val="en-GB" w:bidi="ar-EG"/>
        </w:rPr>
        <w:t>Following the descriptive statistics and correlation matrix, Figures (1) through (5) illustrate the evolution of unemployment, the digital-transformation indicator, human and physical capital, and the mean-centred interaction terms over the study period. The graphical evidence reveals pronounced trends, fluctuations, and possible turning points across the variables. These patterns provide useful preliminary insights into their temporal behaviour, although they do not establish causal relationships or substitute for the subsequent unit-root and ARDL analyses.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3"/>
      </w:tblGrid>
      <w:tr w:rsidR="00587784" w:rsidRPr="00B67805" w14:paraId="73889549" w14:textId="77777777" w:rsidTr="00CE31CE">
        <w:tc>
          <w:tcPr>
            <w:tcW w:w="8283" w:type="dxa"/>
          </w:tcPr>
          <w:p w14:paraId="0DBBAA7F" w14:textId="2985B7B4" w:rsidR="00587784" w:rsidRPr="00B67805" w:rsidRDefault="00E15A27" w:rsidP="00D6346F">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rtl/>
                <w:lang w:val="en-GB" w:bidi="ar-EG"/>
              </w:rPr>
              <w:drawing>
                <wp:inline distT="0" distB="0" distL="0" distR="0" wp14:anchorId="09E5386E" wp14:editId="39B284BD">
                  <wp:extent cx="3980986" cy="2062703"/>
                  <wp:effectExtent l="0" t="0" r="635" b="0"/>
                  <wp:docPr id="1026" name="Picture 1" descr="A graph showing the growth of the unemployment ra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srcRect/>
                          <a:stretch/>
                        </pic:blipFill>
                        <pic:spPr>
                          <a:xfrm>
                            <a:off x="0" y="0"/>
                            <a:ext cx="3980986" cy="2062703"/>
                          </a:xfrm>
                          <a:prstGeom prst="rect">
                            <a:avLst/>
                          </a:prstGeom>
                        </pic:spPr>
                      </pic:pic>
                    </a:graphicData>
                  </a:graphic>
                </wp:inline>
              </w:drawing>
            </w:r>
          </w:p>
        </w:tc>
      </w:tr>
      <w:tr w:rsidR="00E15A27" w:rsidRPr="00B67805" w14:paraId="38C9CBBE" w14:textId="77777777" w:rsidTr="00CE31CE">
        <w:tc>
          <w:tcPr>
            <w:tcW w:w="8283" w:type="dxa"/>
          </w:tcPr>
          <w:p w14:paraId="59D418D7" w14:textId="7893BC33" w:rsidR="00E15A27" w:rsidRPr="00B67805" w:rsidRDefault="00E15A27" w:rsidP="00E15A27">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1</w:t>
            </w:r>
            <w:r w:rsidRPr="00B67805">
              <w:rPr>
                <w:rFonts w:ascii="Palatino Linotype" w:eastAsia="Times New Roman" w:hAnsi="Palatino Linotype" w:cs="Simplified Arabic"/>
                <w:sz w:val="18"/>
                <w:szCs w:val="18"/>
                <w:lang w:val="en-GB" w:bidi="ar-EG"/>
              </w:rPr>
              <w:t>)</w:t>
            </w:r>
          </w:p>
        </w:tc>
      </w:tr>
    </w:tbl>
    <w:p w14:paraId="309A177C" w14:textId="77777777" w:rsidR="00587784" w:rsidRPr="00B67805" w:rsidRDefault="00587784" w:rsidP="00D6346F">
      <w:pPr>
        <w:spacing w:after="60" w:line="240" w:lineRule="atLeast"/>
        <w:ind w:firstLine="540"/>
        <w:rPr>
          <w:rFonts w:ascii="Palatino Linotype" w:hAnsi="Palatino Linotype" w:cs="Simplified Arabic"/>
          <w:b/>
          <w:bCs/>
          <w:sz w:val="2"/>
          <w:szCs w:val="2"/>
          <w:lang w:val="en-GB" w:bidi="ar-EG"/>
        </w:rPr>
      </w:pPr>
    </w:p>
    <w:p w14:paraId="2283B342" w14:textId="78534101" w:rsidR="00587784"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b/>
          <w:bCs/>
          <w:lang w:val="en-GB" w:bidi="ar-EG"/>
        </w:rPr>
        <w:t>Figure (1)</w:t>
      </w:r>
      <w:r w:rsidRPr="00B67805">
        <w:rPr>
          <w:rFonts w:ascii="Palatino Linotype" w:hAnsi="Palatino Linotype" w:cs="Simplified Arabic"/>
          <w:lang w:val="en-GB" w:bidi="ar-EG"/>
        </w:rPr>
        <w:t xml:space="preserve"> shows that the unemployment rate in Egypt experienced clear cyclical and structural movements during the study period. In the early 2000s, unemployment fluctuated around relatively high levels, before declining between 2007 and 2010. A sharp upward movement is observed after 2011, with unemployment reaching its highest levels during 2013–2015. This pattern is consistent with the labour-market pressures associated with the post-2011 economic and political transition. After 2016, unemployment followed a marked downward trend, reaching its lowest level around 2022, before rising slightly in 2023 and 2024. This suggests that unemployment in Egypt was shaped by both cyclical economic conditions and structural shocks over the period.</w:t>
      </w:r>
    </w:p>
    <w:p w14:paraId="2CF1AB24" w14:textId="4E3F4D95" w:rsidR="00D6346F" w:rsidRDefault="00D6346F" w:rsidP="00D6346F">
      <w:pPr>
        <w:spacing w:after="60" w:line="240" w:lineRule="atLeast"/>
        <w:ind w:firstLine="540"/>
        <w:rPr>
          <w:rFonts w:ascii="Palatino Linotype" w:hAnsi="Palatino Linotype" w:cs="Simplified Arabic"/>
          <w:lang w:val="en-GB" w:bidi="ar-EG"/>
        </w:rPr>
      </w:pPr>
    </w:p>
    <w:p w14:paraId="6D902E3C" w14:textId="4F4A9D38" w:rsidR="00D6346F" w:rsidRDefault="00D6346F" w:rsidP="00D6346F">
      <w:pPr>
        <w:spacing w:after="60" w:line="240" w:lineRule="atLeast"/>
        <w:ind w:firstLine="540"/>
        <w:rPr>
          <w:rFonts w:ascii="Palatino Linotype" w:hAnsi="Palatino Linotype" w:cs="Simplified Arabic"/>
          <w:lang w:val="en-GB" w:bidi="ar-EG"/>
        </w:rPr>
      </w:pPr>
    </w:p>
    <w:p w14:paraId="7C7E5D0F" w14:textId="16C501FC" w:rsidR="00D6346F" w:rsidRDefault="00D6346F" w:rsidP="00D6346F">
      <w:pPr>
        <w:spacing w:after="60" w:line="240" w:lineRule="atLeast"/>
        <w:ind w:firstLine="540"/>
        <w:rPr>
          <w:rFonts w:ascii="Palatino Linotype" w:hAnsi="Palatino Linotype" w:cs="Simplified Arabic"/>
          <w:lang w:val="en-GB" w:bidi="ar-EG"/>
        </w:rPr>
      </w:pPr>
    </w:p>
    <w:p w14:paraId="1EE9EC01" w14:textId="77777777" w:rsidR="00D6346F" w:rsidRPr="00B67805" w:rsidRDefault="00D6346F" w:rsidP="00D6346F">
      <w:pPr>
        <w:spacing w:after="60" w:line="240" w:lineRule="atLeast"/>
        <w:ind w:firstLine="540"/>
        <w:rPr>
          <w:rFonts w:ascii="Palatino Linotype" w:hAnsi="Palatino Linotype" w:cs="Simplified Arabic"/>
          <w:lang w:val="en-GB"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587784" w:rsidRPr="00B67805" w14:paraId="33A6BC20" w14:textId="77777777" w:rsidTr="00CE31CE">
        <w:tc>
          <w:tcPr>
            <w:tcW w:w="8283" w:type="dxa"/>
          </w:tcPr>
          <w:p w14:paraId="3180C232" w14:textId="472C885D" w:rsidR="00587784" w:rsidRPr="00B67805" w:rsidRDefault="00E15A27" w:rsidP="00D6346F">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rtl/>
                <w:lang w:val="en-GB" w:bidi="ar-EG"/>
              </w:rPr>
              <w:lastRenderedPageBreak/>
              <w:drawing>
                <wp:inline distT="0" distB="0" distL="0" distR="0" wp14:anchorId="12782125" wp14:editId="259C3540">
                  <wp:extent cx="5257800" cy="2471420"/>
                  <wp:effectExtent l="0" t="0" r="0" b="5080"/>
                  <wp:docPr id="1027" name="Picture 1" descr="A graph with a line going u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5257800" cy="2471420"/>
                          </a:xfrm>
                          <a:prstGeom prst="rect">
                            <a:avLst/>
                          </a:prstGeom>
                        </pic:spPr>
                      </pic:pic>
                    </a:graphicData>
                  </a:graphic>
                </wp:inline>
              </w:drawing>
            </w:r>
          </w:p>
        </w:tc>
      </w:tr>
      <w:tr w:rsidR="00E15A27" w:rsidRPr="00B67805" w14:paraId="78486495" w14:textId="77777777" w:rsidTr="00CE31CE">
        <w:tc>
          <w:tcPr>
            <w:tcW w:w="8283" w:type="dxa"/>
          </w:tcPr>
          <w:p w14:paraId="1E8BE7CD" w14:textId="13F1319B" w:rsidR="00E15A27" w:rsidRPr="00B67805" w:rsidRDefault="00E15A27" w:rsidP="00E15A27">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2</w:t>
            </w:r>
            <w:r w:rsidRPr="00B67805">
              <w:rPr>
                <w:rFonts w:ascii="Palatino Linotype" w:eastAsia="Times New Roman" w:hAnsi="Palatino Linotype" w:cs="Simplified Arabic"/>
                <w:sz w:val="18"/>
                <w:szCs w:val="18"/>
                <w:lang w:val="en-GB" w:bidi="ar-EG"/>
              </w:rPr>
              <w:t>)</w:t>
            </w:r>
          </w:p>
        </w:tc>
      </w:tr>
    </w:tbl>
    <w:p w14:paraId="0C47A26A" w14:textId="77777777" w:rsidR="00587784" w:rsidRPr="00B67805" w:rsidRDefault="00587784" w:rsidP="00D6346F">
      <w:pPr>
        <w:spacing w:after="60" w:line="240" w:lineRule="atLeast"/>
        <w:rPr>
          <w:rFonts w:ascii="Palatino Linotype" w:hAnsi="Palatino Linotype" w:cs="Simplified Arabic"/>
          <w:sz w:val="18"/>
          <w:szCs w:val="18"/>
          <w:lang w:val="en-GB"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3"/>
      </w:tblGrid>
      <w:tr w:rsidR="00587784" w:rsidRPr="00B67805" w14:paraId="02889217" w14:textId="77777777" w:rsidTr="00CE31CE">
        <w:tc>
          <w:tcPr>
            <w:tcW w:w="8283" w:type="dxa"/>
          </w:tcPr>
          <w:p w14:paraId="1D0C78F2" w14:textId="264B7E87" w:rsidR="00587784" w:rsidRPr="00B67805" w:rsidRDefault="00E15A27" w:rsidP="00D6346F">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rtl/>
                <w:lang w:val="en-GB" w:bidi="ar-EG"/>
              </w:rPr>
              <w:drawing>
                <wp:inline distT="0" distB="0" distL="0" distR="0" wp14:anchorId="3941D736" wp14:editId="2DEA081D">
                  <wp:extent cx="4343400" cy="2257129"/>
                  <wp:effectExtent l="0" t="0" r="0" b="0"/>
                  <wp:docPr id="1028" name="Picture 1" descr="A graph with a line going u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3" cstate="print"/>
                          <a:srcRect/>
                          <a:stretch/>
                        </pic:blipFill>
                        <pic:spPr>
                          <a:xfrm>
                            <a:off x="0" y="0"/>
                            <a:ext cx="4343400" cy="2257129"/>
                          </a:xfrm>
                          <a:prstGeom prst="rect">
                            <a:avLst/>
                          </a:prstGeom>
                        </pic:spPr>
                      </pic:pic>
                    </a:graphicData>
                  </a:graphic>
                </wp:inline>
              </w:drawing>
            </w:r>
          </w:p>
        </w:tc>
      </w:tr>
      <w:tr w:rsidR="00E15A27" w:rsidRPr="00B67805" w14:paraId="166CDA75" w14:textId="77777777" w:rsidTr="00CE31CE">
        <w:tc>
          <w:tcPr>
            <w:tcW w:w="8283" w:type="dxa"/>
          </w:tcPr>
          <w:p w14:paraId="4C593C58" w14:textId="24550FE8" w:rsidR="00E15A27" w:rsidRPr="00B67805" w:rsidRDefault="00E15A27" w:rsidP="00E15A27">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3</w:t>
            </w:r>
            <w:r w:rsidRPr="00B67805">
              <w:rPr>
                <w:rFonts w:ascii="Palatino Linotype" w:eastAsia="Times New Roman" w:hAnsi="Palatino Linotype" w:cs="Simplified Arabic"/>
                <w:sz w:val="18"/>
                <w:szCs w:val="18"/>
                <w:lang w:val="en-GB" w:bidi="ar-EG"/>
              </w:rPr>
              <w:t>)</w:t>
            </w:r>
          </w:p>
        </w:tc>
      </w:tr>
    </w:tbl>
    <w:p w14:paraId="14135CEC"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b/>
          <w:bCs/>
          <w:lang w:val="en-GB" w:bidi="ar-EG"/>
        </w:rPr>
        <w:t>Figure (2)</w:t>
      </w:r>
      <w:r w:rsidRPr="00B67805">
        <w:rPr>
          <w:rFonts w:ascii="Palatino Linotype" w:hAnsi="Palatino Linotype" w:cs="Simplified Arabic"/>
          <w:lang w:val="en-GB" w:bidi="ar-EG"/>
        </w:rPr>
        <w:t xml:space="preserve"> shows a persistent upward trend in the natural logarithm of fixed broadband subscriptions per 100 people (LBBND). The negative logarithmic values observed during the early years arise because the original number of subscriptions per 100 people was below one. The series increased continuously throughout the sample, crossed zero around 2009, and continued rising through 2024. </w:t>
      </w:r>
    </w:p>
    <w:p w14:paraId="45E089A6"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b/>
          <w:bCs/>
          <w:lang w:val="en-GB" w:bidi="ar-EG"/>
        </w:rPr>
        <w:t>Figure (3)</w:t>
      </w:r>
      <w:r w:rsidRPr="00B67805">
        <w:rPr>
          <w:rFonts w:ascii="Palatino Linotype" w:hAnsi="Palatino Linotype" w:cs="Simplified Arabic"/>
          <w:lang w:val="en-GB" w:bidi="ar-EG"/>
        </w:rPr>
        <w:t xml:space="preserve"> shows that tertiary school enrollment (EDU) generally rises, despite some fluctuations. The decline around 2011–2012 is followed by a strong upward movement from the mid-2010s onwards, indicating an improvement in human capital formation. This pattern is important for the study because the labour-market effects of digital transformation depend not only on the availability of digital infrastructure but also on workers' capacity to acquire, absorb, and use digital skills effectively.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3"/>
      </w:tblGrid>
      <w:tr w:rsidR="00587784" w:rsidRPr="00B67805" w14:paraId="6A7A641F" w14:textId="77777777" w:rsidTr="00CE31CE">
        <w:tc>
          <w:tcPr>
            <w:tcW w:w="8283" w:type="dxa"/>
          </w:tcPr>
          <w:p w14:paraId="520D7CD2" w14:textId="0DF5CC3A" w:rsidR="00587784" w:rsidRPr="00B67805" w:rsidRDefault="00E15A27" w:rsidP="00D6346F">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rtl/>
                <w:lang w:val="en-GB" w:bidi="ar-EG"/>
              </w:rPr>
              <w:lastRenderedPageBreak/>
              <w:drawing>
                <wp:inline distT="0" distB="0" distL="0" distR="0" wp14:anchorId="29A880C6" wp14:editId="4060EC25">
                  <wp:extent cx="4785572" cy="3009900"/>
                  <wp:effectExtent l="0" t="0" r="0" b="0"/>
                  <wp:docPr id="102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4" cstate="print"/>
                          <a:srcRect/>
                          <a:stretch/>
                        </pic:blipFill>
                        <pic:spPr>
                          <a:xfrm>
                            <a:off x="0" y="0"/>
                            <a:ext cx="4785572" cy="3009900"/>
                          </a:xfrm>
                          <a:prstGeom prst="rect">
                            <a:avLst/>
                          </a:prstGeom>
                        </pic:spPr>
                      </pic:pic>
                    </a:graphicData>
                  </a:graphic>
                </wp:inline>
              </w:drawing>
            </w:r>
          </w:p>
        </w:tc>
      </w:tr>
      <w:tr w:rsidR="00E15A27" w:rsidRPr="00B67805" w14:paraId="1D06E90A" w14:textId="77777777" w:rsidTr="00CE31CE">
        <w:tc>
          <w:tcPr>
            <w:tcW w:w="8283" w:type="dxa"/>
          </w:tcPr>
          <w:p w14:paraId="745FDF50" w14:textId="58F88DE7" w:rsidR="00E15A27" w:rsidRPr="00B67805" w:rsidRDefault="00E15A27" w:rsidP="00E15A27">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4</w:t>
            </w:r>
            <w:r w:rsidRPr="00B67805">
              <w:rPr>
                <w:rFonts w:ascii="Palatino Linotype" w:eastAsia="Times New Roman" w:hAnsi="Palatino Linotype" w:cs="Simplified Arabic"/>
                <w:sz w:val="18"/>
                <w:szCs w:val="18"/>
                <w:lang w:val="en-GB" w:bidi="ar-EG"/>
              </w:rPr>
              <w:t>)</w:t>
            </w:r>
          </w:p>
        </w:tc>
      </w:tr>
    </w:tbl>
    <w:p w14:paraId="2D26EA8B" w14:textId="77777777" w:rsidR="00587784" w:rsidRPr="00B67805" w:rsidRDefault="00587784" w:rsidP="00D6346F">
      <w:pPr>
        <w:tabs>
          <w:tab w:val="left" w:pos="6705"/>
        </w:tabs>
        <w:spacing w:after="60" w:line="240" w:lineRule="atLeast"/>
        <w:rPr>
          <w:rFonts w:ascii="Palatino Linotype" w:hAnsi="Palatino Linotype" w:cs="Simplified Arabic"/>
          <w:sz w:val="18"/>
          <w:szCs w:val="18"/>
          <w:lang w:val="en-GB"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3"/>
      </w:tblGrid>
      <w:tr w:rsidR="00587784" w:rsidRPr="00B67805" w14:paraId="376EA7F6" w14:textId="77777777" w:rsidTr="00CE31CE">
        <w:tc>
          <w:tcPr>
            <w:tcW w:w="8283" w:type="dxa"/>
          </w:tcPr>
          <w:p w14:paraId="49009C08" w14:textId="56A4EFF6" w:rsidR="00587784" w:rsidRPr="00B67805" w:rsidRDefault="00E15A27" w:rsidP="00D6346F">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rtl/>
                <w:lang w:val="en-GB" w:bidi="ar-EG"/>
              </w:rPr>
              <w:drawing>
                <wp:inline distT="0" distB="0" distL="0" distR="0" wp14:anchorId="109696A6" wp14:editId="7C1E0F74">
                  <wp:extent cx="4238625" cy="2721643"/>
                  <wp:effectExtent l="0" t="0" r="0" b="2540"/>
                  <wp:docPr id="1030" name="Picture 1" descr="A graph showing the growth of a band subscrip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5" cstate="print"/>
                          <a:srcRect/>
                          <a:stretch/>
                        </pic:blipFill>
                        <pic:spPr>
                          <a:xfrm>
                            <a:off x="0" y="0"/>
                            <a:ext cx="4238625" cy="2721643"/>
                          </a:xfrm>
                          <a:prstGeom prst="rect">
                            <a:avLst/>
                          </a:prstGeom>
                        </pic:spPr>
                      </pic:pic>
                    </a:graphicData>
                  </a:graphic>
                </wp:inline>
              </w:drawing>
            </w:r>
          </w:p>
        </w:tc>
      </w:tr>
      <w:tr w:rsidR="00E15A27" w:rsidRPr="00B67805" w14:paraId="2E0CF655" w14:textId="77777777" w:rsidTr="00CE31CE">
        <w:tc>
          <w:tcPr>
            <w:tcW w:w="8283" w:type="dxa"/>
          </w:tcPr>
          <w:p w14:paraId="2B2E6607" w14:textId="073098A8" w:rsidR="00E15A27" w:rsidRPr="00B67805" w:rsidRDefault="00E15A27" w:rsidP="00E15A27">
            <w:pPr>
              <w:spacing w:after="60"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5</w:t>
            </w:r>
            <w:r w:rsidRPr="00B67805">
              <w:rPr>
                <w:rFonts w:ascii="Palatino Linotype" w:eastAsia="Times New Roman" w:hAnsi="Palatino Linotype" w:cs="Simplified Arabic"/>
                <w:sz w:val="18"/>
                <w:szCs w:val="18"/>
                <w:lang w:val="en-GB" w:bidi="ar-EG"/>
              </w:rPr>
              <w:t>)</w:t>
            </w:r>
          </w:p>
        </w:tc>
      </w:tr>
    </w:tbl>
    <w:p w14:paraId="00B188FB"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lang w:val="en-GB" w:bidi="ar-EG"/>
        </w:rPr>
        <w:t xml:space="preserve">Gross fixed capital formation, shown in </w:t>
      </w:r>
      <w:r w:rsidRPr="00B67805">
        <w:rPr>
          <w:rFonts w:ascii="Palatino Linotype" w:hAnsi="Palatino Linotype" w:cs="Simplified Arabic"/>
          <w:b/>
          <w:bCs/>
          <w:lang w:val="en-GB" w:bidi="ar-EG"/>
        </w:rPr>
        <w:t>Figure (4)</w:t>
      </w:r>
      <w:r w:rsidRPr="00B67805">
        <w:rPr>
          <w:rFonts w:ascii="Palatino Linotype" w:hAnsi="Palatino Linotype" w:cs="Simplified Arabic"/>
          <w:lang w:val="en-GB" w:bidi="ar-EG"/>
        </w:rPr>
        <w:t xml:space="preserve">, displays considerable instability over the study period. It increased during the mid-2000s and reached a peak around 2008, before declining sharply between 2011 and 2014. A recovery is observed during 2017–2019, followed by another decline in the later years of the sample. This pattern suggests that investment activity in Egypt was sensitive to macroeconomic conditions, public investment cycles, and </w:t>
      </w:r>
      <w:r w:rsidRPr="00B67805">
        <w:rPr>
          <w:rFonts w:ascii="Palatino Linotype" w:hAnsi="Palatino Linotype" w:cs="Simplified Arabic"/>
          <w:lang w:val="en-GB" w:bidi="ar-EG"/>
        </w:rPr>
        <w:lastRenderedPageBreak/>
        <w:t xml:space="preserve">external shocks. Since investment affects productive capacity and labour demand, GFCF volatility may have important implications for unemployment dynamics. </w:t>
      </w:r>
    </w:p>
    <w:p w14:paraId="35E0B6C9"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b/>
          <w:bCs/>
          <w:lang w:val="en-GB" w:bidi="ar-EG"/>
        </w:rPr>
        <w:t>Figure (5)</w:t>
      </w:r>
      <w:r w:rsidRPr="00B67805">
        <w:rPr>
          <w:rFonts w:ascii="Palatino Linotype" w:hAnsi="Palatino Linotype" w:cs="Simplified Arabic"/>
          <w:lang w:val="en-GB" w:bidi="ar-EG"/>
        </w:rPr>
        <w:t xml:space="preserve"> presents the mean-centred interaction term. Its interpretation differs from that of the original variables. A positive interaction value arises when tertiary enrolment and the digital indicator are both above or both below their respective sample means. A negative value arises when one variable is above its mean while the other is below it. Consequently, a positive value does not necessarily imply that both education and digital connectivity are high; during the early years, it may instead indicate that both were below their sample averages. For the centred education–broadband interaction term ((EDUBBNDC)), </w:t>
      </w:r>
      <w:r w:rsidRPr="00B67805">
        <w:rPr>
          <w:rFonts w:ascii="Palatino Linotype" w:hAnsi="Palatino Linotype" w:cs="Simplified Arabic"/>
          <w:b/>
          <w:bCs/>
          <w:lang w:val="en-GB" w:bidi="ar-EG"/>
        </w:rPr>
        <w:t>Figure (5)</w:t>
      </w:r>
      <w:r w:rsidRPr="00B67805">
        <w:rPr>
          <w:rFonts w:ascii="Palatino Linotype" w:hAnsi="Palatino Linotype" w:cs="Simplified Arabic"/>
          <w:lang w:val="en-GB" w:bidi="ar-EG"/>
        </w:rPr>
        <w:t xml:space="preserve"> shows that the series was positive during the early years of the study period, declined progressively, and subsequently became negative when tertiary enrolment and broadband connectivity were positioned on opposite sides of their respective sample means. From approximately 2015 onward, the interaction term returned to positive values and generally increased, although with noticeable fluctuations. The relatively high positive values observed in the later years indicate an increasing alignment between above-average tertiary enrolment and above-average broadband connectivity. </w:t>
      </w:r>
    </w:p>
    <w:p w14:paraId="08D1204E"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lang w:val="en-GB" w:bidi="ar-EG"/>
        </w:rPr>
        <w:t xml:space="preserve">Overall, the graphical analysis reveals marked differences in the temporal behaviour of the variables. These visual patterns underscore the need for formal unit-root testing before model estimation. They are also consistent with the possible presence of a mixture of (I(0)) and (I(1)) variables, which would support the use of the ARDL approach, provided that none of the series is integrated of order two, (I(2)). </w:t>
      </w:r>
    </w:p>
    <w:p w14:paraId="59D102C3"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b/>
          <w:bCs/>
          <w:lang w:val="en-GB" w:bidi="ar-EG"/>
        </w:rPr>
        <w:t>Table 4</w:t>
      </w:r>
      <w:r w:rsidRPr="00B67805">
        <w:rPr>
          <w:rFonts w:ascii="Palatino Linotype" w:hAnsi="Palatino Linotype" w:cs="Simplified Arabic"/>
          <w:lang w:val="en-GB" w:bidi="ar-EG"/>
        </w:rPr>
        <w:t xml:space="preserve"> reports the results of the Augmented Dickey–Fuller (ADF) unit root test for the variables included in the empirical model. The test is conducted at level and, where necessary, at first difference, with the lag length selected according to the Schwarz Information Criterion (SIC). The deterministic specification of each ADF equation is guided by the graphical behaviour of the series. Variables that fluctuate around a non-zero mean without a clear deterministic trend are tested with a constant only, whereas variables displaying a visible upward trend are tested with both a constant and a time trend. This distinction is important because excluding a relevant deterministic trend may lead to misleading stationarity conclusions.</w:t>
      </w:r>
    </w:p>
    <w:p w14:paraId="4263D60C" w14:textId="77777777" w:rsidR="00587784" w:rsidRPr="00B67805" w:rsidRDefault="00587784" w:rsidP="00D6346F">
      <w:pPr>
        <w:spacing w:after="60" w:line="240" w:lineRule="atLeast"/>
        <w:ind w:firstLine="540"/>
        <w:rPr>
          <w:rFonts w:ascii="Palatino Linotype" w:hAnsi="Palatino Linotype" w:cs="Simplified Arabic"/>
          <w:lang w:val="en-GB" w:bidi="ar-EG"/>
        </w:rPr>
      </w:pPr>
      <w:r w:rsidRPr="00B67805">
        <w:rPr>
          <w:rFonts w:ascii="Palatino Linotype" w:hAnsi="Palatino Linotype" w:cs="Simplified Arabic"/>
          <w:lang w:val="en-GB" w:bidi="ar-EG"/>
        </w:rPr>
        <w:t xml:space="preserve">As shown in </w:t>
      </w:r>
      <w:r w:rsidRPr="00B67805">
        <w:rPr>
          <w:rFonts w:ascii="Palatino Linotype" w:hAnsi="Palatino Linotype" w:cs="Simplified Arabic"/>
          <w:b/>
          <w:bCs/>
          <w:lang w:val="en-GB" w:bidi="ar-EG"/>
        </w:rPr>
        <w:t>Figure (1)</w:t>
      </w:r>
      <w:r w:rsidRPr="00B67805">
        <w:rPr>
          <w:rFonts w:ascii="Palatino Linotype" w:hAnsi="Palatino Linotype" w:cs="Simplified Arabic"/>
          <w:lang w:val="en-GB" w:bidi="ar-EG"/>
        </w:rPr>
        <w:t>, unemployment (UNEMP) fluctuates over time without exhibiting a stable deterministic trend. Therefore, the ADF test is estimated with a constant only. The results indicate that UNEMP is non-stationary at the level but becomes stationary after first differencing, implying that it is integrated of order one (I(1).</w:t>
      </w:r>
      <w:r w:rsidRPr="00B67805">
        <w:rPr>
          <w:rFonts w:ascii="Palatino Linotype" w:hAnsi="Palatino Linotype" w:cs="Simplified Arabic"/>
          <w:lang w:val="en-GB"/>
        </w:rPr>
        <w:t xml:space="preserve"> </w:t>
      </w:r>
      <w:r w:rsidRPr="00B67805">
        <w:rPr>
          <w:rFonts w:ascii="Palatino Linotype" w:hAnsi="Palatino Linotype" w:cs="Simplified Arabic"/>
          <w:lang w:val="en-GB" w:bidi="ar-EG"/>
        </w:rPr>
        <w:t xml:space="preserve">In contrast, the digital transformation indicator displays clear upward trends. </w:t>
      </w:r>
      <w:r w:rsidRPr="00B67805">
        <w:rPr>
          <w:rFonts w:ascii="Palatino Linotype" w:hAnsi="Palatino Linotype" w:cs="Simplified Arabic"/>
          <w:b/>
          <w:bCs/>
          <w:lang w:val="en-GB" w:bidi="ar-EG"/>
        </w:rPr>
        <w:t xml:space="preserve">Figure 2 </w:t>
      </w:r>
      <w:r w:rsidRPr="00B67805">
        <w:rPr>
          <w:rFonts w:ascii="Palatino Linotype" w:hAnsi="Palatino Linotype" w:cs="Simplified Arabic"/>
          <w:lang w:val="en-GB" w:bidi="ar-EG"/>
        </w:rPr>
        <w:t xml:space="preserve">shows that LBBND increased strongly over the study period, reflecting the expansion of broadband connectivity in Egypt. Accordingly, the ADF equation for this variable includes both a constant and a deterministic </w:t>
      </w:r>
      <w:r w:rsidRPr="00B67805">
        <w:rPr>
          <w:rFonts w:ascii="Palatino Linotype" w:hAnsi="Palatino Linotype" w:cs="Simplified Arabic"/>
          <w:lang w:val="en-GB" w:bidi="ar-EG"/>
        </w:rPr>
        <w:lastRenderedPageBreak/>
        <w:t>time trend. The result rejects the unit root null at level, indicating that it is stationary around a deterministic trend and can therefore be classified as I(0)</w:t>
      </w:r>
    </w:p>
    <w:p w14:paraId="0B1750B8" w14:textId="77777777" w:rsidR="00587784" w:rsidRPr="00B67805" w:rsidRDefault="00587784" w:rsidP="00D6346F">
      <w:pPr>
        <w:spacing w:after="60" w:line="240" w:lineRule="atLeast"/>
        <w:jc w:val="center"/>
        <w:rPr>
          <w:rFonts w:ascii="Palatino Linotype" w:hAnsi="Palatino Linotype" w:cs="Simplified Arabic"/>
          <w:b/>
          <w:bCs/>
          <w:sz w:val="18"/>
          <w:szCs w:val="18"/>
          <w:lang w:val="en-GB"/>
        </w:rPr>
      </w:pPr>
      <w:r w:rsidRPr="00B67805">
        <w:rPr>
          <w:rFonts w:ascii="Palatino Linotype" w:hAnsi="Palatino Linotype" w:cs="Simplified Arabic"/>
          <w:b/>
          <w:bCs/>
          <w:sz w:val="18"/>
          <w:szCs w:val="18"/>
          <w:lang w:val="en-GB"/>
        </w:rPr>
        <w:t>Table 4: Results of the ADF Unit Root Test</w:t>
      </w:r>
    </w:p>
    <w:tbl>
      <w:tblPr>
        <w:tblStyle w:val="TableGrid"/>
        <w:tblW w:w="86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67"/>
        <w:gridCol w:w="2726"/>
        <w:gridCol w:w="3065"/>
      </w:tblGrid>
      <w:tr w:rsidR="00587784" w:rsidRPr="00B67805" w14:paraId="4442E565" w14:textId="77777777" w:rsidTr="00744F37">
        <w:tc>
          <w:tcPr>
            <w:tcW w:w="2867" w:type="dxa"/>
          </w:tcPr>
          <w:p w14:paraId="18806BD4"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Variable</w:t>
            </w:r>
          </w:p>
        </w:tc>
        <w:tc>
          <w:tcPr>
            <w:tcW w:w="2726" w:type="dxa"/>
          </w:tcPr>
          <w:p w14:paraId="11B55459"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 xml:space="preserve">Test Statistic </w:t>
            </w:r>
          </w:p>
        </w:tc>
        <w:tc>
          <w:tcPr>
            <w:tcW w:w="3065" w:type="dxa"/>
          </w:tcPr>
          <w:p w14:paraId="747193E0"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Decision</w:t>
            </w:r>
          </w:p>
        </w:tc>
      </w:tr>
      <w:tr w:rsidR="00587784" w:rsidRPr="00B67805" w14:paraId="6BF9BD57" w14:textId="77777777" w:rsidTr="00744F37">
        <w:tc>
          <w:tcPr>
            <w:tcW w:w="2867" w:type="dxa"/>
          </w:tcPr>
          <w:p w14:paraId="5567389E"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bCs/>
                <w:sz w:val="18"/>
                <w:szCs w:val="18"/>
                <w:lang w:val="en-GB"/>
              </w:rPr>
              <w:t>UNEMP</w:t>
            </w:r>
          </w:p>
        </w:tc>
        <w:tc>
          <w:tcPr>
            <w:tcW w:w="2726" w:type="dxa"/>
          </w:tcPr>
          <w:p w14:paraId="73F3F8EF"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-0.756 (C) [0.81]</w:t>
            </w:r>
          </w:p>
        </w:tc>
        <w:tc>
          <w:tcPr>
            <w:tcW w:w="3065" w:type="dxa"/>
            <w:vMerge w:val="restart"/>
          </w:tcPr>
          <w:p w14:paraId="71A1EC78"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Para>
              <m:oMath>
                <m:r>
                  <w:rPr>
                    <w:rFonts w:ascii="Cambria Math" w:eastAsia="Times New Roman" w:hAnsi="Cambria Math" w:cs="Simplified Arabic"/>
                    <w:sz w:val="18"/>
                    <w:szCs w:val="18"/>
                    <w:lang w:val="en-GB"/>
                  </w:rPr>
                  <m:t>UNEMP ~ (I)</m:t>
                </m:r>
              </m:oMath>
            </m:oMathPara>
          </w:p>
        </w:tc>
      </w:tr>
      <w:tr w:rsidR="00587784" w:rsidRPr="00B67805" w14:paraId="1BB76BA5" w14:textId="77777777" w:rsidTr="00744F37">
        <w:tc>
          <w:tcPr>
            <w:tcW w:w="2867" w:type="dxa"/>
          </w:tcPr>
          <w:p w14:paraId="66E19549"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
              <m:r>
                <m:rPr>
                  <m:sty m:val="bi"/>
                </m:rPr>
                <w:rPr>
                  <w:rFonts w:ascii="Cambria Math" w:eastAsia="Times New Roman" w:hAnsi="Cambria Math" w:hint="cs"/>
                  <w:sz w:val="18"/>
                  <w:szCs w:val="18"/>
                  <w:rtl/>
                  <w:lang w:val="en-GB"/>
                </w:rPr>
                <m:t>∆</m:t>
              </m:r>
              <m:r>
                <m:rPr>
                  <m:sty m:val="bi"/>
                </m:rPr>
                <w:rPr>
                  <w:rFonts w:ascii="Cambria Math" w:eastAsia="Times New Roman" w:hAnsi="Cambria Math" w:cs="Simplified Arabic"/>
                  <w:sz w:val="18"/>
                  <w:szCs w:val="18"/>
                  <w:lang w:val="en-GB"/>
                </w:rPr>
                <m:t xml:space="preserve"> </m:t>
              </m:r>
            </m:oMath>
            <w:r w:rsidRPr="00B67805">
              <w:rPr>
                <w:rFonts w:ascii="Palatino Linotype" w:eastAsia="Times New Roman" w:hAnsi="Palatino Linotype" w:cs="Simplified Arabic"/>
                <w:b/>
                <w:bCs/>
                <w:sz w:val="18"/>
                <w:szCs w:val="18"/>
                <w:lang w:val="en-GB"/>
              </w:rPr>
              <w:t xml:space="preserve">UNEMP </w:t>
            </w:r>
          </w:p>
        </w:tc>
        <w:tc>
          <w:tcPr>
            <w:tcW w:w="2726" w:type="dxa"/>
          </w:tcPr>
          <w:p w14:paraId="7728F3E6"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-3.397 (C) [0.02] **</w:t>
            </w:r>
          </w:p>
        </w:tc>
        <w:tc>
          <w:tcPr>
            <w:tcW w:w="3065" w:type="dxa"/>
            <w:vMerge/>
          </w:tcPr>
          <w:p w14:paraId="7921AB59"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p>
        </w:tc>
      </w:tr>
      <w:tr w:rsidR="00587784" w:rsidRPr="00B67805" w14:paraId="7762A60A" w14:textId="77777777" w:rsidTr="00744F37">
        <w:tc>
          <w:tcPr>
            <w:tcW w:w="2867" w:type="dxa"/>
          </w:tcPr>
          <w:p w14:paraId="66A96B96"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bCs/>
                <w:sz w:val="18"/>
                <w:szCs w:val="18"/>
                <w:lang w:val="en-GB"/>
              </w:rPr>
              <w:t>LBBND</w:t>
            </w:r>
          </w:p>
        </w:tc>
        <w:tc>
          <w:tcPr>
            <w:tcW w:w="2726" w:type="dxa"/>
          </w:tcPr>
          <w:p w14:paraId="0C9140BF"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-5.25 (C &amp; T) [0.00] *</w:t>
            </w:r>
          </w:p>
        </w:tc>
        <w:tc>
          <w:tcPr>
            <w:tcW w:w="3065" w:type="dxa"/>
          </w:tcPr>
          <w:p w14:paraId="3B6D9E67"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Para>
              <m:oMath>
                <m:r>
                  <w:rPr>
                    <w:rFonts w:ascii="Cambria Math" w:eastAsia="Times New Roman" w:hAnsi="Cambria Math" w:cs="Simplified Arabic"/>
                    <w:sz w:val="18"/>
                    <w:szCs w:val="18"/>
                    <w:lang w:val="en-GB"/>
                  </w:rPr>
                  <m:t>LBBND ~ (0)</m:t>
                </m:r>
              </m:oMath>
            </m:oMathPara>
          </w:p>
        </w:tc>
      </w:tr>
      <w:tr w:rsidR="00587784" w:rsidRPr="00B67805" w14:paraId="44A7E13C" w14:textId="77777777" w:rsidTr="00744F37">
        <w:tc>
          <w:tcPr>
            <w:tcW w:w="2867" w:type="dxa"/>
          </w:tcPr>
          <w:p w14:paraId="1E88B88F"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bCs/>
                <w:sz w:val="18"/>
                <w:szCs w:val="18"/>
                <w:lang w:val="en-GB"/>
              </w:rPr>
              <w:t>EDU</w:t>
            </w:r>
          </w:p>
        </w:tc>
        <w:tc>
          <w:tcPr>
            <w:tcW w:w="2726" w:type="dxa"/>
          </w:tcPr>
          <w:p w14:paraId="7E1D0137"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-2.902 (C &amp; T) [0.19]</w:t>
            </w:r>
          </w:p>
        </w:tc>
        <w:tc>
          <w:tcPr>
            <w:tcW w:w="3065" w:type="dxa"/>
            <w:vMerge w:val="restart"/>
          </w:tcPr>
          <w:p w14:paraId="39C48ED2"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Para>
              <m:oMath>
                <m:r>
                  <w:rPr>
                    <w:rFonts w:ascii="Cambria Math" w:eastAsia="Times New Roman" w:hAnsi="Cambria Math" w:cs="Simplified Arabic"/>
                    <w:sz w:val="18"/>
                    <w:szCs w:val="18"/>
                    <w:lang w:val="en-GB"/>
                  </w:rPr>
                  <m:t>EDU ~ (I)</m:t>
                </m:r>
              </m:oMath>
            </m:oMathPara>
          </w:p>
        </w:tc>
      </w:tr>
      <w:tr w:rsidR="00587784" w:rsidRPr="00B67805" w14:paraId="06A39291" w14:textId="77777777" w:rsidTr="00744F37">
        <w:tc>
          <w:tcPr>
            <w:tcW w:w="2867" w:type="dxa"/>
          </w:tcPr>
          <w:p w14:paraId="7778978E" w14:textId="77777777" w:rsidR="00587784" w:rsidRPr="00B67805" w:rsidRDefault="00587784" w:rsidP="00D6346F">
            <w:pPr>
              <w:spacing w:line="240" w:lineRule="atLeast"/>
              <w:jc w:val="center"/>
              <w:rPr>
                <w:rFonts w:ascii="Palatino Linotype" w:eastAsia="Times New Roman" w:hAnsi="Palatino Linotype" w:cs="Simplified Arabic"/>
                <w:b/>
                <w:bCs/>
                <w:sz w:val="18"/>
                <w:szCs w:val="18"/>
                <w:lang w:val="en-GB"/>
              </w:rPr>
            </w:pPr>
            <m:oMathPara>
              <m:oMath>
                <m:r>
                  <m:rPr>
                    <m:sty m:val="bi"/>
                  </m:rPr>
                  <w:rPr>
                    <w:rFonts w:ascii="Cambria Math" w:eastAsia="Times New Roman" w:hAnsi="Cambria Math" w:hint="cs"/>
                    <w:sz w:val="18"/>
                    <w:szCs w:val="18"/>
                    <w:rtl/>
                    <w:lang w:val="en-GB"/>
                  </w:rPr>
                  <m:t>∆</m:t>
                </m:r>
                <m:r>
                  <m:rPr>
                    <m:sty m:val="bi"/>
                  </m:rPr>
                  <w:rPr>
                    <w:rFonts w:ascii="Cambria Math" w:eastAsia="Times New Roman" w:hAnsi="Cambria Math" w:cs="Simplified Arabic"/>
                    <w:sz w:val="18"/>
                    <w:szCs w:val="18"/>
                    <w:lang w:val="en-GB"/>
                  </w:rPr>
                  <m:t xml:space="preserve">  EDU</m:t>
                </m:r>
              </m:oMath>
            </m:oMathPara>
          </w:p>
        </w:tc>
        <w:tc>
          <w:tcPr>
            <w:tcW w:w="2726" w:type="dxa"/>
          </w:tcPr>
          <w:p w14:paraId="685B1DD7"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-7.583 (C) [0.00] *</w:t>
            </w:r>
          </w:p>
        </w:tc>
        <w:tc>
          <w:tcPr>
            <w:tcW w:w="3065" w:type="dxa"/>
            <w:vMerge/>
          </w:tcPr>
          <w:p w14:paraId="0A94B9AB"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p>
        </w:tc>
      </w:tr>
      <w:tr w:rsidR="00587784" w:rsidRPr="00B67805" w14:paraId="00FC46C3" w14:textId="77777777" w:rsidTr="00744F37">
        <w:tc>
          <w:tcPr>
            <w:tcW w:w="2867" w:type="dxa"/>
          </w:tcPr>
          <w:p w14:paraId="4C3A760E"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bCs/>
                <w:sz w:val="18"/>
                <w:szCs w:val="18"/>
                <w:lang w:val="en-GB"/>
              </w:rPr>
              <w:t>GFCF</w:t>
            </w:r>
          </w:p>
        </w:tc>
        <w:tc>
          <w:tcPr>
            <w:tcW w:w="2726" w:type="dxa"/>
          </w:tcPr>
          <w:p w14:paraId="79CFC575"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-1.836 (C) [0.35]</w:t>
            </w:r>
          </w:p>
        </w:tc>
        <w:tc>
          <w:tcPr>
            <w:tcW w:w="3065" w:type="dxa"/>
            <w:vMerge w:val="restart"/>
          </w:tcPr>
          <w:p w14:paraId="32D7198F"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Para>
              <m:oMath>
                <m:r>
                  <w:rPr>
                    <w:rFonts w:ascii="Cambria Math" w:eastAsia="Times New Roman" w:hAnsi="Cambria Math" w:cs="Simplified Arabic"/>
                    <w:sz w:val="18"/>
                    <w:szCs w:val="18"/>
                    <w:lang w:val="en-GB"/>
                  </w:rPr>
                  <m:t>GFCF ~ (I)</m:t>
                </m:r>
              </m:oMath>
            </m:oMathPara>
          </w:p>
        </w:tc>
      </w:tr>
      <w:tr w:rsidR="00587784" w:rsidRPr="00B67805" w14:paraId="4AF1CB6A" w14:textId="77777777" w:rsidTr="00744F37">
        <w:tc>
          <w:tcPr>
            <w:tcW w:w="2867" w:type="dxa"/>
          </w:tcPr>
          <w:p w14:paraId="69336913" w14:textId="77777777" w:rsidR="00587784" w:rsidRPr="00B67805" w:rsidRDefault="00587784" w:rsidP="00D6346F">
            <w:pPr>
              <w:spacing w:line="240" w:lineRule="atLeast"/>
              <w:jc w:val="center"/>
              <w:rPr>
                <w:rFonts w:ascii="Palatino Linotype" w:eastAsia="Times New Roman" w:hAnsi="Palatino Linotype" w:cs="Simplified Arabic"/>
                <w:b/>
                <w:bCs/>
                <w:sz w:val="18"/>
                <w:szCs w:val="18"/>
                <w:lang w:val="en-GB"/>
              </w:rPr>
            </w:pPr>
            <m:oMathPara>
              <m:oMath>
                <m:r>
                  <m:rPr>
                    <m:sty m:val="bi"/>
                  </m:rPr>
                  <w:rPr>
                    <w:rFonts w:ascii="Cambria Math" w:eastAsia="Times New Roman" w:hAnsi="Cambria Math" w:hint="cs"/>
                    <w:sz w:val="18"/>
                    <w:szCs w:val="18"/>
                    <w:rtl/>
                    <w:lang w:val="en-GB"/>
                  </w:rPr>
                  <m:t>∆</m:t>
                </m:r>
                <m:r>
                  <m:rPr>
                    <m:sty m:val="bi"/>
                  </m:rPr>
                  <w:rPr>
                    <w:rFonts w:ascii="Cambria Math" w:eastAsia="Times New Roman" w:hAnsi="Cambria Math" w:cs="Simplified Arabic"/>
                    <w:sz w:val="18"/>
                    <w:szCs w:val="18"/>
                    <w:lang w:val="en-GB"/>
                  </w:rPr>
                  <m:t xml:space="preserve"> </m:t>
                </m:r>
                <m:r>
                  <m:rPr>
                    <m:sty m:val="b"/>
                  </m:rPr>
                  <w:rPr>
                    <w:rFonts w:ascii="Cambria Math" w:eastAsia="Times New Roman" w:hAnsi="Cambria Math" w:cs="Simplified Arabic"/>
                    <w:sz w:val="18"/>
                    <w:szCs w:val="18"/>
                    <w:lang w:val="en-GB"/>
                  </w:rPr>
                  <m:t>GFCF</m:t>
                </m:r>
              </m:oMath>
            </m:oMathPara>
          </w:p>
        </w:tc>
        <w:tc>
          <w:tcPr>
            <w:tcW w:w="2726" w:type="dxa"/>
          </w:tcPr>
          <w:p w14:paraId="7452ED9E"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-3.006 (C) [0.04] **</w:t>
            </w:r>
          </w:p>
        </w:tc>
        <w:tc>
          <w:tcPr>
            <w:tcW w:w="3065" w:type="dxa"/>
            <w:vMerge/>
          </w:tcPr>
          <w:p w14:paraId="2C72CB66"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p>
        </w:tc>
      </w:tr>
      <w:tr w:rsidR="00587784" w:rsidRPr="00B67805" w14:paraId="04547AF6" w14:textId="77777777" w:rsidTr="00744F37">
        <w:tc>
          <w:tcPr>
            <w:tcW w:w="2867" w:type="dxa"/>
          </w:tcPr>
          <w:p w14:paraId="391586A9" w14:textId="77777777" w:rsidR="00587784" w:rsidRPr="00B67805" w:rsidRDefault="00587784" w:rsidP="00D6346F">
            <w:pPr>
              <w:spacing w:line="240" w:lineRule="atLeast"/>
              <w:jc w:val="center"/>
              <w:rPr>
                <w:rFonts w:ascii="Palatino Linotype" w:eastAsia="Aptos" w:hAnsi="Palatino Linotype" w:cs="Simplified Arabic"/>
                <w:b/>
                <w:sz w:val="18"/>
                <w:szCs w:val="18"/>
                <w:rtl/>
                <w:lang w:val="en-GB"/>
              </w:rPr>
            </w:pPr>
            <w:r w:rsidRPr="00B67805">
              <w:rPr>
                <w:rFonts w:ascii="Palatino Linotype" w:eastAsia="Times New Roman" w:hAnsi="Palatino Linotype" w:cs="Simplified Arabic"/>
                <w:b/>
                <w:bCs/>
                <w:sz w:val="18"/>
                <w:szCs w:val="18"/>
                <w:lang w:val="en-GB"/>
              </w:rPr>
              <w:t>EDUMBBNDC</w:t>
            </w:r>
          </w:p>
        </w:tc>
        <w:tc>
          <w:tcPr>
            <w:tcW w:w="2726" w:type="dxa"/>
          </w:tcPr>
          <w:p w14:paraId="09DBE37B"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 xml:space="preserve">-1.424 (C) [0.55] </w:t>
            </w:r>
          </w:p>
        </w:tc>
        <w:tc>
          <w:tcPr>
            <w:tcW w:w="3065" w:type="dxa"/>
            <w:vMerge w:val="restart"/>
          </w:tcPr>
          <w:p w14:paraId="53B2903E"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m:oMathPara>
              <m:oMath>
                <m:r>
                  <m:rPr>
                    <m:sty m:val="b"/>
                  </m:rPr>
                  <w:rPr>
                    <w:rFonts w:ascii="Cambria Math" w:eastAsia="Times New Roman" w:hAnsi="Cambria Math" w:cs="Simplified Arabic"/>
                    <w:sz w:val="18"/>
                    <w:szCs w:val="18"/>
                    <w:lang w:val="en-GB"/>
                  </w:rPr>
                  <m:t>EDUMBBNDC</m:t>
                </m:r>
                <m:r>
                  <w:rPr>
                    <w:rFonts w:ascii="Cambria Math" w:eastAsia="Times New Roman" w:hAnsi="Cambria Math" w:cs="Simplified Arabic"/>
                    <w:sz w:val="18"/>
                    <w:szCs w:val="18"/>
                    <w:lang w:val="en-GB"/>
                  </w:rPr>
                  <m:t xml:space="preserve"> ~ (I)</m:t>
                </m:r>
              </m:oMath>
            </m:oMathPara>
          </w:p>
        </w:tc>
      </w:tr>
      <w:tr w:rsidR="00587784" w:rsidRPr="00B67805" w14:paraId="5D82C218" w14:textId="77777777" w:rsidTr="00744F37">
        <w:tc>
          <w:tcPr>
            <w:tcW w:w="2867" w:type="dxa"/>
          </w:tcPr>
          <w:p w14:paraId="37FDDA14" w14:textId="77777777" w:rsidR="00587784" w:rsidRPr="00B67805" w:rsidRDefault="00587784" w:rsidP="00D6346F">
            <w:pPr>
              <w:spacing w:line="240" w:lineRule="atLeast"/>
              <w:jc w:val="center"/>
              <w:rPr>
                <w:rFonts w:ascii="Palatino Linotype" w:eastAsia="Aptos" w:hAnsi="Palatino Linotype" w:cs="Simplified Arabic"/>
                <w:b/>
                <w:sz w:val="18"/>
                <w:szCs w:val="18"/>
                <w:rtl/>
                <w:lang w:val="en-GB"/>
              </w:rPr>
            </w:pPr>
            <m:oMathPara>
              <m:oMath>
                <m:r>
                  <m:rPr>
                    <m:sty m:val="bi"/>
                  </m:rPr>
                  <w:rPr>
                    <w:rFonts w:ascii="Cambria Math" w:eastAsia="Times New Roman" w:hAnsi="Cambria Math" w:hint="cs"/>
                    <w:sz w:val="18"/>
                    <w:szCs w:val="18"/>
                    <w:rtl/>
                    <w:lang w:val="en-GB"/>
                  </w:rPr>
                  <m:t>∆</m:t>
                </m:r>
                <m:r>
                  <m:rPr>
                    <m:sty m:val="bi"/>
                  </m:rPr>
                  <w:rPr>
                    <w:rFonts w:ascii="Cambria Math" w:eastAsia="Times New Roman" w:hAnsi="Cambria Math" w:cs="Simplified Arabic"/>
                    <w:sz w:val="18"/>
                    <w:szCs w:val="18"/>
                    <w:lang w:val="en-GB"/>
                  </w:rPr>
                  <m:t xml:space="preserve"> </m:t>
                </m:r>
                <m:r>
                  <m:rPr>
                    <m:sty m:val="b"/>
                  </m:rPr>
                  <w:rPr>
                    <w:rFonts w:ascii="Cambria Math" w:eastAsia="Times New Roman" w:hAnsi="Cambria Math" w:cs="Simplified Arabic"/>
                    <w:sz w:val="18"/>
                    <w:szCs w:val="18"/>
                    <w:lang w:val="en-GB"/>
                  </w:rPr>
                  <m:t>EDUMBBNDC</m:t>
                </m:r>
              </m:oMath>
            </m:oMathPara>
          </w:p>
        </w:tc>
        <w:tc>
          <w:tcPr>
            <w:tcW w:w="2726" w:type="dxa"/>
          </w:tcPr>
          <w:p w14:paraId="20A3F946"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-7.304 (C) [0.000] *</w:t>
            </w:r>
          </w:p>
        </w:tc>
        <w:tc>
          <w:tcPr>
            <w:tcW w:w="3065" w:type="dxa"/>
            <w:vMerge/>
          </w:tcPr>
          <w:p w14:paraId="4D9EBB42" w14:textId="77777777" w:rsidR="00587784" w:rsidRPr="00B67805" w:rsidRDefault="00587784" w:rsidP="00D6346F">
            <w:pPr>
              <w:spacing w:line="240" w:lineRule="atLeast"/>
              <w:jc w:val="center"/>
              <w:rPr>
                <w:rFonts w:ascii="Palatino Linotype" w:eastAsia="Times New Roman" w:hAnsi="Palatino Linotype" w:cs="Simplified Arabic"/>
                <w:sz w:val="18"/>
                <w:szCs w:val="18"/>
                <w:lang w:val="en-GB"/>
              </w:rPr>
            </w:pPr>
          </w:p>
        </w:tc>
      </w:tr>
      <w:tr w:rsidR="00587784" w:rsidRPr="00B67805" w14:paraId="161102EC" w14:textId="77777777" w:rsidTr="00744F37">
        <w:tc>
          <w:tcPr>
            <w:tcW w:w="8658" w:type="dxa"/>
            <w:gridSpan w:val="3"/>
          </w:tcPr>
          <w:p w14:paraId="7C5CFADE" w14:textId="77777777" w:rsidR="00587784" w:rsidRPr="00B67805" w:rsidRDefault="00587784" w:rsidP="00D6346F">
            <w:pPr>
              <w:spacing w:line="240" w:lineRule="atLeast"/>
              <w:rPr>
                <w:rFonts w:ascii="Palatino Linotype" w:eastAsia="Times New Roman" w:hAnsi="Palatino Linotype" w:cs="Simplified Arabic"/>
                <w:sz w:val="16"/>
                <w:szCs w:val="16"/>
                <w:lang w:val="en-GB" w:bidi="ar-EG"/>
              </w:rPr>
            </w:pPr>
            <w:r w:rsidRPr="00B67805">
              <w:rPr>
                <w:rFonts w:ascii="Palatino Linotype" w:eastAsia="Times New Roman" w:hAnsi="Palatino Linotype" w:cs="Simplified Arabic"/>
                <w:sz w:val="16"/>
                <w:szCs w:val="16"/>
                <w:lang w:val="en-GB"/>
              </w:rPr>
              <w:t xml:space="preserve">Notes: (1) Letters in round brackets next to the calculated ADF test statistics, i.e., C indicate that the test equation includes a constant whereas C &amp; T indicates that the tests equation includes both a constant and a trend. (2) </w:t>
            </w:r>
            <m:oMath>
              <m:r>
                <m:rPr>
                  <m:sty m:val="bi"/>
                </m:rPr>
                <w:rPr>
                  <w:rFonts w:ascii="Cambria Math" w:eastAsia="Times New Roman" w:hAnsi="Cambria Math" w:hint="cs"/>
                  <w:sz w:val="16"/>
                  <w:szCs w:val="16"/>
                  <w:rtl/>
                  <w:lang w:val="en-GB"/>
                </w:rPr>
                <m:t>∆</m:t>
              </m:r>
            </m:oMath>
            <w:r w:rsidRPr="00B67805">
              <w:rPr>
                <w:rFonts w:ascii="Palatino Linotype" w:eastAsia="Times New Roman" w:hAnsi="Palatino Linotype" w:cs="Simplified Arabic"/>
                <w:sz w:val="16"/>
                <w:szCs w:val="16"/>
                <w:lang w:val="en-GB"/>
              </w:rPr>
              <w:t xml:space="preserve"> is the difference operator. (3) The employed lag length is determined by SIC. (4) p-value is provided between square brackets. (5) *, ** indicate that the null hypothesis that the series under consideration has a unit root should be rejected at 1%, and 5% level of significance, respectively. (6) </w:t>
            </w:r>
            <m:oMath>
              <m:r>
                <w:rPr>
                  <w:rFonts w:ascii="Cambria Math" w:eastAsia="Times New Roman" w:hAnsi="Cambria Math" w:cs="Simplified Arabic"/>
                  <w:sz w:val="16"/>
                  <w:szCs w:val="16"/>
                  <w:lang w:val="en-GB"/>
                </w:rPr>
                <m:t>~</m:t>
              </m:r>
              <m:d>
                <m:dPr>
                  <m:ctrlPr>
                    <w:rPr>
                      <w:rFonts w:ascii="Cambria Math" w:eastAsia="Times New Roman" w:hAnsi="Cambria Math" w:cs="Simplified Arabic"/>
                      <w:i/>
                      <w:sz w:val="16"/>
                      <w:szCs w:val="16"/>
                      <w:lang w:val="en-GB"/>
                    </w:rPr>
                  </m:ctrlPr>
                </m:dPr>
                <m:e>
                  <m:r>
                    <w:rPr>
                      <w:rFonts w:ascii="Cambria Math" w:eastAsia="Times New Roman" w:hAnsi="Cambria Math" w:cs="Simplified Arabic"/>
                      <w:sz w:val="16"/>
                      <w:szCs w:val="16"/>
                      <w:lang w:val="en-GB"/>
                    </w:rPr>
                    <m:t>0</m:t>
                  </m:r>
                </m:e>
              </m:d>
              <m:r>
                <w:rPr>
                  <w:rFonts w:ascii="Cambria Math" w:eastAsia="Times New Roman" w:hAnsi="Cambria Math" w:cs="Simplified Arabic"/>
                  <w:sz w:val="16"/>
                  <w:szCs w:val="16"/>
                  <w:lang w:val="en-GB"/>
                </w:rPr>
                <m:t xml:space="preserve"> </m:t>
              </m:r>
            </m:oMath>
            <w:r w:rsidRPr="00B67805">
              <w:rPr>
                <w:rFonts w:ascii="Palatino Linotype" w:eastAsia="Times New Roman" w:hAnsi="Palatino Linotype" w:cs="Simplified Arabic"/>
                <w:sz w:val="16"/>
                <w:szCs w:val="16"/>
                <w:lang w:val="en-GB"/>
              </w:rPr>
              <w:t xml:space="preserve">indicates that the variable is stationary whereas </w:t>
            </w:r>
            <m:oMath>
              <m:r>
                <w:rPr>
                  <w:rFonts w:ascii="Cambria Math" w:eastAsia="Times New Roman" w:hAnsi="Cambria Math" w:cs="Simplified Arabic"/>
                  <w:sz w:val="16"/>
                  <w:szCs w:val="16"/>
                  <w:lang w:val="en-GB"/>
                </w:rPr>
                <m:t>~</m:t>
              </m:r>
              <m:d>
                <m:dPr>
                  <m:ctrlPr>
                    <w:rPr>
                      <w:rFonts w:ascii="Cambria Math" w:eastAsia="Times New Roman" w:hAnsi="Cambria Math" w:cs="Simplified Arabic"/>
                      <w:i/>
                      <w:sz w:val="16"/>
                      <w:szCs w:val="16"/>
                      <w:lang w:val="en-GB"/>
                    </w:rPr>
                  </m:ctrlPr>
                </m:dPr>
                <m:e>
                  <m:r>
                    <w:rPr>
                      <w:rFonts w:ascii="Cambria Math" w:eastAsia="Times New Roman" w:hAnsi="Cambria Math" w:cs="Simplified Arabic"/>
                      <w:sz w:val="16"/>
                      <w:szCs w:val="16"/>
                      <w:lang w:val="en-GB"/>
                    </w:rPr>
                    <m:t>I</m:t>
                  </m:r>
                </m:e>
              </m:d>
              <m:r>
                <w:rPr>
                  <w:rFonts w:ascii="Cambria Math" w:eastAsia="Times New Roman" w:hAnsi="Cambria Math" w:cs="Simplified Arabic"/>
                  <w:sz w:val="16"/>
                  <w:szCs w:val="16"/>
                  <w:lang w:val="en-GB"/>
                </w:rPr>
                <m:t xml:space="preserve"> </m:t>
              </m:r>
            </m:oMath>
            <w:r w:rsidRPr="00B67805">
              <w:rPr>
                <w:rFonts w:ascii="Palatino Linotype" w:eastAsia="Times New Roman" w:hAnsi="Palatino Linotype" w:cs="Simplified Arabic"/>
                <w:sz w:val="16"/>
                <w:szCs w:val="16"/>
                <w:lang w:val="en-GB"/>
              </w:rPr>
              <w:t xml:space="preserve">means that the variable under consideration is individually integrated of order one. (7) </w:t>
            </w:r>
            <w:r w:rsidRPr="00B67805">
              <w:rPr>
                <w:rFonts w:ascii="Palatino Linotype" w:eastAsia="Times New Roman" w:hAnsi="Palatino Linotype" w:cs="Simplified Arabic"/>
                <w:sz w:val="16"/>
                <w:szCs w:val="16"/>
                <w:lang w:val="en-GB" w:bidi="ar-EG"/>
              </w:rPr>
              <w:t xml:space="preserve">For variables tested with both a constant and a trend, stationarity at level should be interpreted as </w:t>
            </w:r>
            <w:r w:rsidRPr="00B67805">
              <w:rPr>
                <w:rFonts w:ascii="Palatino Linotype" w:eastAsia="Times New Roman" w:hAnsi="Palatino Linotype" w:cs="Simplified Arabic"/>
                <w:b/>
                <w:bCs/>
                <w:sz w:val="16"/>
                <w:szCs w:val="16"/>
                <w:lang w:val="en-GB" w:bidi="ar-EG"/>
              </w:rPr>
              <w:t>stationarity around a deterministic time trend</w:t>
            </w:r>
            <w:r w:rsidRPr="00B67805">
              <w:rPr>
                <w:rFonts w:ascii="Palatino Linotype" w:eastAsia="Times New Roman" w:hAnsi="Palatino Linotype" w:cs="Simplified Arabic"/>
                <w:sz w:val="16"/>
                <w:szCs w:val="16"/>
                <w:lang w:val="en-GB" w:bidi="ar-EG"/>
              </w:rPr>
              <w:t>, not stationarity around a constant mean.</w:t>
            </w:r>
          </w:p>
        </w:tc>
      </w:tr>
      <w:tr w:rsidR="00587784" w:rsidRPr="00B67805" w14:paraId="009D48FF" w14:textId="77777777" w:rsidTr="00744F37">
        <w:tc>
          <w:tcPr>
            <w:tcW w:w="8658" w:type="dxa"/>
            <w:gridSpan w:val="3"/>
          </w:tcPr>
          <w:p w14:paraId="25A9DD58" w14:textId="77777777" w:rsidR="00587784" w:rsidRPr="00B67805" w:rsidRDefault="00587784" w:rsidP="00D6346F">
            <w:pPr>
              <w:tabs>
                <w:tab w:val="left" w:pos="3984"/>
              </w:tabs>
              <w:spacing w:line="240" w:lineRule="atLeast"/>
              <w:rPr>
                <w:rFonts w:ascii="Palatino Linotype" w:eastAsia="Times New Roman" w:hAnsi="Palatino Linotype" w:cs="Simplified Arabic"/>
                <w:sz w:val="16"/>
                <w:szCs w:val="16"/>
                <w:lang w:val="en-GB"/>
              </w:rPr>
            </w:pPr>
            <w:r w:rsidRPr="00B67805">
              <w:rPr>
                <w:rFonts w:ascii="Palatino Linotype" w:eastAsia="Times New Roman" w:hAnsi="Palatino Linotype" w:cs="Simplified Arabic"/>
                <w:sz w:val="16"/>
                <w:szCs w:val="16"/>
                <w:lang w:val="en-GB" w:bidi="ar-EG"/>
              </w:rPr>
              <w:t>Source: Author's calculation based on EViews 12.</w:t>
            </w:r>
          </w:p>
        </w:tc>
      </w:tr>
    </w:tbl>
    <w:p w14:paraId="2D0611D0" w14:textId="77777777" w:rsidR="00587784" w:rsidRPr="00B67805" w:rsidRDefault="00587784" w:rsidP="00D6346F">
      <w:pPr>
        <w:spacing w:after="60" w:line="240" w:lineRule="atLeast"/>
        <w:ind w:firstLine="540"/>
        <w:rPr>
          <w:rFonts w:ascii="Palatino Linotype" w:hAnsi="Palatino Linotype" w:cs="Simplified Arabic"/>
          <w:lang w:val="en-GB"/>
        </w:rPr>
      </w:pPr>
      <w:r w:rsidRPr="00B67805">
        <w:rPr>
          <w:rFonts w:ascii="Palatino Linotype" w:hAnsi="Palatino Linotype" w:cs="Simplified Arabic"/>
          <w:lang w:val="en-GB"/>
        </w:rPr>
        <w:t>Table 4 shows that LBBND is trend-stationary at level and therefore classified as (I(0)), whereas UNEMP, EDU, GFCF, and EDUBBNDC become stationary after first differencing and are classified as (I(1)). Since none of the variables is (I(2)), the mixed integration orders satisfy the requirement for applying the ARDL bounds-testing approach.</w:t>
      </w:r>
    </w:p>
    <w:p w14:paraId="5CE634B9" w14:textId="77777777" w:rsidR="00587784" w:rsidRPr="00D6346F" w:rsidRDefault="00587784" w:rsidP="00D6346F">
      <w:pPr>
        <w:spacing w:after="60" w:line="240" w:lineRule="atLeast"/>
        <w:rPr>
          <w:rFonts w:ascii="Palatino Linotype" w:hAnsi="Palatino Linotype" w:cs="Simplified Arabic"/>
          <w:b/>
          <w:bCs/>
          <w:sz w:val="22"/>
          <w:szCs w:val="22"/>
          <w:lang w:val="en-GB"/>
        </w:rPr>
      </w:pPr>
      <w:r w:rsidRPr="00D6346F">
        <w:rPr>
          <w:rFonts w:ascii="Palatino Linotype" w:hAnsi="Palatino Linotype" w:cs="Simplified Arabic"/>
          <w:b/>
          <w:bCs/>
          <w:sz w:val="22"/>
          <w:szCs w:val="22"/>
          <w:lang w:val="en-GB"/>
        </w:rPr>
        <w:t>5.2. ARDL Bounds Test and Long-Run Relationship</w:t>
      </w:r>
    </w:p>
    <w:p w14:paraId="06819296" w14:textId="77777777" w:rsidR="00587784" w:rsidRPr="00B67805" w:rsidRDefault="00587784" w:rsidP="00D6346F">
      <w:pPr>
        <w:spacing w:after="60" w:line="240" w:lineRule="atLeast"/>
        <w:ind w:firstLine="540"/>
        <w:rPr>
          <w:rFonts w:ascii="Palatino Linotype" w:hAnsi="Palatino Linotype" w:cs="Simplified Arabic"/>
          <w:lang w:val="en-GB"/>
        </w:rPr>
      </w:pPr>
      <w:r w:rsidRPr="00B67805">
        <w:rPr>
          <w:rFonts w:ascii="Palatino Linotype" w:hAnsi="Palatino Linotype" w:cs="Simplified Arabic"/>
          <w:lang w:val="en-GB"/>
        </w:rPr>
        <w:t>Table 5 reports the ARDL bounds tests for cointegration. The computed F-bounds statistic (34.386) exceeds the 1% upper-bound critical value (6.670), decisively rejecting the null hypothesis that the lagged-level terms are jointly insignificant. The t-bounds statistic (-9.024746) is also more negative than the corresponding 1% I(1) critical value (-4.60). Whereas the F-test assesses the joint significance of the lagged levels, the t-test focuses on lagged unemployment and its role in long-run adjustment. Together, the tests provide strong evidence of a long-run relationship among unemployment, gross fixed capital formation (GFCF), tertiary school enrolment (EDU), fixed broadband subscriptions (LBBND), and the centred education-broadband interaction term (EDUBBNDC).</w:t>
      </w:r>
    </w:p>
    <w:p w14:paraId="33E1398B" w14:textId="77777777" w:rsidR="00587784" w:rsidRPr="00B67805" w:rsidRDefault="00587784" w:rsidP="00D6346F">
      <w:pPr>
        <w:spacing w:after="60" w:line="240" w:lineRule="atLeast"/>
        <w:ind w:firstLine="540"/>
        <w:rPr>
          <w:rFonts w:ascii="Palatino Linotype" w:hAnsi="Palatino Linotype" w:cs="Simplified Arabic"/>
          <w:lang w:val="en-GB"/>
        </w:rPr>
      </w:pPr>
      <w:r w:rsidRPr="00B67805">
        <w:rPr>
          <w:rFonts w:ascii="Palatino Linotype" w:hAnsi="Palatino Linotype" w:cs="Simplified Arabic"/>
          <w:lang w:val="en-GB"/>
        </w:rPr>
        <w:lastRenderedPageBreak/>
        <w:t xml:space="preserve">Following this evidence, Table 6 presents the long-run coefficients, short-run error-correction estimates, and diagnostic tests for the selected ARDL(1,0,0,0,1) model. Unemployment is the dependent variable, and GFCF, EDU, LBBND, and EDUBBNDC are the explanatory variables. The pulse dummy DUM2011, equal to one in 2011 and zero otherwise, captures the exceptional labour-market disturbance in that year.  </w:t>
      </w:r>
    </w:p>
    <w:p w14:paraId="6269540C" w14:textId="77777777" w:rsidR="00587784" w:rsidRPr="00B67805" w:rsidRDefault="00587784" w:rsidP="00D6346F">
      <w:pPr>
        <w:keepNext/>
        <w:spacing w:after="60" w:line="240" w:lineRule="atLeast"/>
        <w:jc w:val="center"/>
        <w:rPr>
          <w:rFonts w:ascii="Palatino Linotype" w:hAnsi="Palatino Linotype" w:cs="Simplified Arabic"/>
          <w:b/>
          <w:lang w:val="en-GB"/>
        </w:rPr>
      </w:pPr>
      <w:r w:rsidRPr="00B67805">
        <w:rPr>
          <w:rFonts w:ascii="Palatino Linotype" w:hAnsi="Palatino Linotype" w:cs="Simplified Arabic"/>
          <w:b/>
          <w:lang w:val="en-GB"/>
        </w:rPr>
        <w:t>Table 5. ARDL Bounds Tests for Cointegration</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89"/>
        <w:gridCol w:w="2203"/>
        <w:gridCol w:w="1420"/>
        <w:gridCol w:w="1774"/>
        <w:gridCol w:w="1597"/>
      </w:tblGrid>
      <w:tr w:rsidR="00587784" w:rsidRPr="00B67805" w14:paraId="195FE8AB" w14:textId="77777777" w:rsidTr="00744F37">
        <w:tc>
          <w:tcPr>
            <w:tcW w:w="9330" w:type="dxa"/>
            <w:gridSpan w:val="5"/>
          </w:tcPr>
          <w:p w14:paraId="7DCA464B" w14:textId="77777777" w:rsidR="00587784" w:rsidRPr="00B67805" w:rsidRDefault="00587784" w:rsidP="00D6346F">
            <w:pPr>
              <w:keepNext/>
              <w:spacing w:line="240" w:lineRule="atLeast"/>
              <w:jc w:val="right"/>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Selected Model (1, 0, 0, 0, 1) for UNEMP, GFCF, EDU, LBBND, EDUBBNDC</w:t>
            </w:r>
          </w:p>
          <w:p w14:paraId="53F7A7B3" w14:textId="77777777" w:rsidR="00587784" w:rsidRPr="00B67805" w:rsidRDefault="00587784" w:rsidP="00D6346F">
            <w:pPr>
              <w:keepNext/>
              <w:spacing w:line="240" w:lineRule="atLeast"/>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Deterministic specification: unrestricted constant, no trend</w:t>
            </w:r>
          </w:p>
          <w:p w14:paraId="5EE972FD" w14:textId="77777777" w:rsidR="00587784" w:rsidRPr="00B67805" w:rsidRDefault="00587784" w:rsidP="00D6346F">
            <w:pPr>
              <w:keepNext/>
              <w:spacing w:line="240" w:lineRule="atLeast"/>
              <w:jc w:val="right"/>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Model-selection criterion: SIC</w:t>
            </w:r>
          </w:p>
          <w:p w14:paraId="3CED4281" w14:textId="77777777" w:rsidR="00587784" w:rsidRPr="00B67805" w:rsidRDefault="00587784" w:rsidP="00D6346F">
            <w:pPr>
              <w:keepNext/>
              <w:spacing w:line="240" w:lineRule="atLeast"/>
              <w:jc w:val="right"/>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Number of long-run regressors (k)=4</w:t>
            </w:r>
          </w:p>
          <w:p w14:paraId="751D2C98" w14:textId="77777777" w:rsidR="00587784" w:rsidRPr="00B67805" w:rsidRDefault="00587784" w:rsidP="00D6346F">
            <w:pPr>
              <w:keepNext/>
              <w:spacing w:line="240" w:lineRule="atLeast"/>
              <w:jc w:val="right"/>
              <w:rPr>
                <w:rFonts w:ascii="Palatino Linotype" w:eastAsia="Times New Roman" w:hAnsi="Palatino Linotype" w:cs="Simplified Arabic"/>
                <w:b/>
                <w:bCs/>
                <w:sz w:val="18"/>
                <w:szCs w:val="18"/>
                <w:lang w:val="en-GB"/>
              </w:rPr>
            </w:pPr>
            <w:r w:rsidRPr="00B67805">
              <w:rPr>
                <w:rFonts w:ascii="Palatino Linotype" w:eastAsia="Times New Roman" w:hAnsi="Palatino Linotype" w:cs="Simplified Arabic"/>
                <w:b/>
                <w:bCs/>
                <w:sz w:val="18"/>
                <w:szCs w:val="18"/>
                <w:lang w:val="en-GB"/>
              </w:rPr>
              <w:t>Computed F-bounds statistic = 34.386*</w:t>
            </w:r>
          </w:p>
          <w:p w14:paraId="7B44CC56" w14:textId="77777777" w:rsidR="00587784" w:rsidRPr="00B67805" w:rsidRDefault="00587784" w:rsidP="00D6346F">
            <w:pPr>
              <w:keepNext/>
              <w:spacing w:line="240" w:lineRule="atLeast"/>
              <w:jc w:val="right"/>
              <w:rPr>
                <w:rFonts w:ascii="Palatino Linotype" w:eastAsia="Times New Roman" w:hAnsi="Palatino Linotype" w:cs="Simplified Arabic"/>
                <w:b/>
                <w:bCs/>
                <w:sz w:val="18"/>
                <w:szCs w:val="18"/>
                <w:lang w:val="en-GB"/>
              </w:rPr>
            </w:pPr>
            <w:r w:rsidRPr="00B67805">
              <w:rPr>
                <w:rFonts w:ascii="Palatino Linotype" w:eastAsia="Times New Roman" w:hAnsi="Palatino Linotype" w:cs="Simplified Arabic"/>
                <w:b/>
                <w:bCs/>
                <w:sz w:val="18"/>
                <w:szCs w:val="18"/>
                <w:lang w:val="en-GB"/>
              </w:rPr>
              <w:t>Computed t-bounds statistic = -9.024746*</w:t>
            </w:r>
          </w:p>
        </w:tc>
      </w:tr>
      <w:tr w:rsidR="00587784" w:rsidRPr="00B67805" w14:paraId="42021839" w14:textId="77777777" w:rsidTr="00744F37">
        <w:tc>
          <w:tcPr>
            <w:tcW w:w="1302" w:type="dxa"/>
          </w:tcPr>
          <w:p w14:paraId="0F6DB17B" w14:textId="77777777" w:rsidR="00587784" w:rsidRPr="00B67805" w:rsidRDefault="00587784" w:rsidP="00D6346F">
            <w:pPr>
              <w:keepNext/>
              <w:spacing w:line="240" w:lineRule="atLeast"/>
              <w:rPr>
                <w:rFonts w:ascii="Palatino Linotype" w:eastAsia="Times New Roman" w:hAnsi="Palatino Linotype" w:cs="Simplified Arabic"/>
                <w:sz w:val="18"/>
                <w:szCs w:val="18"/>
                <w:lang w:val="en-GB"/>
              </w:rPr>
            </w:pPr>
          </w:p>
        </w:tc>
        <w:tc>
          <w:tcPr>
            <w:tcW w:w="4173" w:type="dxa"/>
            <w:gridSpan w:val="2"/>
          </w:tcPr>
          <w:p w14:paraId="7E3E687D"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F-Bound test</w:t>
            </w:r>
          </w:p>
          <w:p w14:paraId="3B3B7514"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bidi="ar-EG"/>
              </w:rPr>
              <w:t xml:space="preserve"> Finite-sample critical values for (n=30)</w:t>
            </w:r>
          </w:p>
        </w:tc>
        <w:tc>
          <w:tcPr>
            <w:tcW w:w="3855" w:type="dxa"/>
            <w:gridSpan w:val="2"/>
          </w:tcPr>
          <w:p w14:paraId="730748DE"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bidi="ar-EG"/>
              </w:rPr>
            </w:pPr>
            <w:r w:rsidRPr="00B67805">
              <w:rPr>
                <w:rFonts w:ascii="Palatino Linotype" w:eastAsia="Times New Roman" w:hAnsi="Palatino Linotype" w:cs="Simplified Arabic"/>
                <w:sz w:val="18"/>
                <w:szCs w:val="18"/>
                <w:lang w:val="en-GB" w:bidi="ar-EG"/>
              </w:rPr>
              <w:t>t-Bound test</w:t>
            </w:r>
          </w:p>
          <w:p w14:paraId="79836D39"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bidi="ar-EG"/>
              </w:rPr>
              <w:t xml:space="preserve"> critical values</w:t>
            </w:r>
          </w:p>
        </w:tc>
      </w:tr>
      <w:tr w:rsidR="00587784" w:rsidRPr="00B67805" w14:paraId="770404CF" w14:textId="77777777" w:rsidTr="00744F37">
        <w:tc>
          <w:tcPr>
            <w:tcW w:w="1302" w:type="dxa"/>
            <w:vAlign w:val="center"/>
          </w:tcPr>
          <w:p w14:paraId="65680790"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sz w:val="18"/>
                <w:szCs w:val="18"/>
                <w:lang w:val="en-GB"/>
              </w:rPr>
              <w:t>Significance level</w:t>
            </w:r>
          </w:p>
        </w:tc>
        <w:tc>
          <w:tcPr>
            <w:tcW w:w="2580" w:type="dxa"/>
            <w:vAlign w:val="center"/>
          </w:tcPr>
          <w:p w14:paraId="62F71CBE"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sz w:val="18"/>
                <w:szCs w:val="18"/>
                <w:lang w:val="en-GB"/>
              </w:rPr>
              <w:t>I(0) bound</w:t>
            </w:r>
          </w:p>
        </w:tc>
        <w:tc>
          <w:tcPr>
            <w:tcW w:w="1593" w:type="dxa"/>
            <w:vAlign w:val="center"/>
          </w:tcPr>
          <w:p w14:paraId="3D168169"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sz w:val="18"/>
                <w:szCs w:val="18"/>
                <w:lang w:val="en-GB"/>
              </w:rPr>
              <w:t>I(1) bound</w:t>
            </w:r>
          </w:p>
        </w:tc>
        <w:tc>
          <w:tcPr>
            <w:tcW w:w="2039" w:type="dxa"/>
            <w:vAlign w:val="center"/>
          </w:tcPr>
          <w:p w14:paraId="236F7190"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sz w:val="18"/>
                <w:szCs w:val="18"/>
                <w:lang w:val="en-GB"/>
              </w:rPr>
              <w:t>I(0) bound</w:t>
            </w:r>
          </w:p>
        </w:tc>
        <w:tc>
          <w:tcPr>
            <w:tcW w:w="1816" w:type="dxa"/>
            <w:vAlign w:val="center"/>
          </w:tcPr>
          <w:p w14:paraId="056461AE"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sz w:val="18"/>
                <w:szCs w:val="18"/>
                <w:lang w:val="en-GB"/>
              </w:rPr>
              <w:t>I(1) bound</w:t>
            </w:r>
          </w:p>
        </w:tc>
      </w:tr>
      <w:tr w:rsidR="00587784" w:rsidRPr="00B67805" w14:paraId="78CACE52" w14:textId="77777777" w:rsidTr="00744F37">
        <w:tc>
          <w:tcPr>
            <w:tcW w:w="1302" w:type="dxa"/>
            <w:vAlign w:val="center"/>
          </w:tcPr>
          <w:p w14:paraId="703966AB"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10%</w:t>
            </w:r>
          </w:p>
        </w:tc>
        <w:tc>
          <w:tcPr>
            <w:tcW w:w="2580" w:type="dxa"/>
            <w:vAlign w:val="center"/>
          </w:tcPr>
          <w:p w14:paraId="6524967F"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2.752</w:t>
            </w:r>
          </w:p>
        </w:tc>
        <w:tc>
          <w:tcPr>
            <w:tcW w:w="1593" w:type="dxa"/>
            <w:vAlign w:val="center"/>
          </w:tcPr>
          <w:p w14:paraId="47AE6106"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3.994</w:t>
            </w:r>
          </w:p>
        </w:tc>
        <w:tc>
          <w:tcPr>
            <w:tcW w:w="2039" w:type="dxa"/>
            <w:vAlign w:val="center"/>
          </w:tcPr>
          <w:p w14:paraId="07CD09AF"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-2.57</w:t>
            </w:r>
          </w:p>
        </w:tc>
        <w:tc>
          <w:tcPr>
            <w:tcW w:w="1816" w:type="dxa"/>
            <w:vAlign w:val="center"/>
          </w:tcPr>
          <w:p w14:paraId="5FF944A1"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-3.66</w:t>
            </w:r>
          </w:p>
        </w:tc>
      </w:tr>
      <w:tr w:rsidR="00587784" w:rsidRPr="00B67805" w14:paraId="7923A7C5" w14:textId="77777777" w:rsidTr="00744F37">
        <w:tc>
          <w:tcPr>
            <w:tcW w:w="1302" w:type="dxa"/>
            <w:vAlign w:val="center"/>
          </w:tcPr>
          <w:p w14:paraId="175A06F8"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5%</w:t>
            </w:r>
          </w:p>
        </w:tc>
        <w:tc>
          <w:tcPr>
            <w:tcW w:w="2580" w:type="dxa"/>
            <w:vAlign w:val="center"/>
          </w:tcPr>
          <w:p w14:paraId="73CA1036"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3.354</w:t>
            </w:r>
          </w:p>
        </w:tc>
        <w:tc>
          <w:tcPr>
            <w:tcW w:w="1593" w:type="dxa"/>
            <w:vAlign w:val="center"/>
          </w:tcPr>
          <w:p w14:paraId="29DCE9B2"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4.774</w:t>
            </w:r>
          </w:p>
        </w:tc>
        <w:tc>
          <w:tcPr>
            <w:tcW w:w="2039" w:type="dxa"/>
            <w:vAlign w:val="center"/>
          </w:tcPr>
          <w:p w14:paraId="1AFE11BB"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-2.86</w:t>
            </w:r>
          </w:p>
        </w:tc>
        <w:tc>
          <w:tcPr>
            <w:tcW w:w="1816" w:type="dxa"/>
            <w:vAlign w:val="center"/>
          </w:tcPr>
          <w:p w14:paraId="1FFAF207"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-3.99</w:t>
            </w:r>
          </w:p>
        </w:tc>
      </w:tr>
      <w:tr w:rsidR="00587784" w:rsidRPr="00B67805" w14:paraId="5E9D2E19" w14:textId="77777777" w:rsidTr="00744F37">
        <w:tc>
          <w:tcPr>
            <w:tcW w:w="1302" w:type="dxa"/>
            <w:vAlign w:val="center"/>
          </w:tcPr>
          <w:p w14:paraId="67E8175E"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1%</w:t>
            </w:r>
          </w:p>
        </w:tc>
        <w:tc>
          <w:tcPr>
            <w:tcW w:w="2580" w:type="dxa"/>
            <w:vAlign w:val="center"/>
          </w:tcPr>
          <w:p w14:paraId="4DD55314"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4.768</w:t>
            </w:r>
          </w:p>
        </w:tc>
        <w:tc>
          <w:tcPr>
            <w:tcW w:w="1593" w:type="dxa"/>
            <w:vAlign w:val="center"/>
          </w:tcPr>
          <w:p w14:paraId="0BE10F9E"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6.670</w:t>
            </w:r>
          </w:p>
        </w:tc>
        <w:tc>
          <w:tcPr>
            <w:tcW w:w="2039" w:type="dxa"/>
            <w:vAlign w:val="center"/>
          </w:tcPr>
          <w:p w14:paraId="5420E2B6"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-3.43</w:t>
            </w:r>
          </w:p>
        </w:tc>
        <w:tc>
          <w:tcPr>
            <w:tcW w:w="1816" w:type="dxa"/>
            <w:vAlign w:val="center"/>
          </w:tcPr>
          <w:p w14:paraId="0CA63072"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-4.60</w:t>
            </w:r>
          </w:p>
        </w:tc>
      </w:tr>
      <w:tr w:rsidR="00587784" w:rsidRPr="00B67805" w14:paraId="3CB05ADB" w14:textId="77777777" w:rsidTr="00744F37">
        <w:tc>
          <w:tcPr>
            <w:tcW w:w="9330" w:type="dxa"/>
            <w:gridSpan w:val="5"/>
            <w:vAlign w:val="center"/>
          </w:tcPr>
          <w:p w14:paraId="4EFE671F" w14:textId="77777777" w:rsidR="00587784" w:rsidRPr="00B67805" w:rsidRDefault="00587784" w:rsidP="00D6346F">
            <w:pPr>
              <w:keepNext/>
              <w:spacing w:line="240" w:lineRule="atLeast"/>
              <w:rPr>
                <w:rFonts w:ascii="Palatino Linotype" w:eastAsia="Times New Roman" w:hAnsi="Palatino Linotype" w:cs="Simplified Arabic"/>
                <w:b/>
                <w:bCs/>
                <w:sz w:val="18"/>
                <w:szCs w:val="18"/>
                <w:lang w:val="en-GB"/>
              </w:rPr>
            </w:pPr>
            <w:r w:rsidRPr="00B67805">
              <w:rPr>
                <w:rFonts w:ascii="Palatino Linotype" w:eastAsia="Times New Roman" w:hAnsi="Palatino Linotype" w:cs="Simplified Arabic"/>
                <w:b/>
                <w:bCs/>
                <w:sz w:val="18"/>
                <w:szCs w:val="18"/>
                <w:lang w:val="en-GB"/>
              </w:rPr>
              <w:t>*Significant at 1% level of significance.</w:t>
            </w:r>
          </w:p>
          <w:p w14:paraId="10C6FBA3" w14:textId="77777777" w:rsidR="00587784" w:rsidRPr="00B67805" w:rsidRDefault="00587784" w:rsidP="00D6346F">
            <w:pPr>
              <w:keepNext/>
              <w:spacing w:line="240" w:lineRule="atLeast"/>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b/>
                <w:bCs/>
                <w:sz w:val="18"/>
                <w:szCs w:val="18"/>
                <w:lang w:val="en-GB"/>
              </w:rPr>
              <w:t>Source:</w:t>
            </w:r>
            <w:r w:rsidRPr="00B67805">
              <w:rPr>
                <w:rFonts w:ascii="Palatino Linotype" w:eastAsia="Times New Roman" w:hAnsi="Palatino Linotype" w:cs="Simplified Arabic"/>
                <w:sz w:val="18"/>
                <w:szCs w:val="18"/>
                <w:lang w:val="en-GB"/>
              </w:rPr>
              <w:t xml:space="preserve"> Author's calculations using EViews 12</w:t>
            </w:r>
          </w:p>
        </w:tc>
      </w:tr>
    </w:tbl>
    <w:p w14:paraId="45EEA8ED" w14:textId="77777777" w:rsidR="00587784" w:rsidRPr="00B67805" w:rsidRDefault="00587784" w:rsidP="00D6346F">
      <w:pPr>
        <w:keepNext/>
        <w:spacing w:after="60" w:line="240" w:lineRule="atLeast"/>
        <w:jc w:val="center"/>
        <w:rPr>
          <w:rFonts w:ascii="Palatino Linotype" w:hAnsi="Palatino Linotype" w:cs="Simplified Arabic"/>
          <w:sz w:val="18"/>
          <w:szCs w:val="18"/>
          <w:lang w:val="en-GB"/>
        </w:rPr>
      </w:pPr>
      <w:r w:rsidRPr="00B67805">
        <w:rPr>
          <w:rFonts w:ascii="Palatino Linotype" w:hAnsi="Palatino Linotype" w:cs="Simplified Arabic"/>
          <w:b/>
          <w:sz w:val="18"/>
          <w:szCs w:val="18"/>
          <w:lang w:val="en-GB"/>
        </w:rPr>
        <w:t>Table 6. Long-Run and Error-Correction Estimates of the ARDL Model</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79"/>
        <w:gridCol w:w="1489"/>
        <w:gridCol w:w="1270"/>
        <w:gridCol w:w="1500"/>
        <w:gridCol w:w="1445"/>
      </w:tblGrid>
      <w:tr w:rsidR="00587784" w:rsidRPr="00B67805" w14:paraId="1E9DFB78" w14:textId="77777777" w:rsidTr="00744F37">
        <w:trPr>
          <w:cantSplit/>
          <w:jc w:val="center"/>
        </w:trPr>
        <w:tc>
          <w:tcPr>
            <w:tcW w:w="9330" w:type="dxa"/>
            <w:gridSpan w:val="5"/>
            <w:vAlign w:val="center"/>
          </w:tcPr>
          <w:p w14:paraId="6FD3778B" w14:textId="77777777" w:rsidR="00587784" w:rsidRPr="00B67805" w:rsidRDefault="00587784" w:rsidP="00D6346F">
            <w:pPr>
              <w:spacing w:line="240" w:lineRule="atLeast"/>
              <w:jc w:val="center"/>
              <w:rPr>
                <w:rFonts w:ascii="Palatino Linotype" w:hAnsi="Palatino Linotype" w:cs="Simplified Arabic"/>
                <w:b/>
                <w:sz w:val="17"/>
                <w:szCs w:val="18"/>
                <w:lang w:val="en-GB"/>
              </w:rPr>
            </w:pPr>
            <w:r w:rsidRPr="00B67805">
              <w:rPr>
                <w:rFonts w:ascii="Palatino Linotype" w:hAnsi="Palatino Linotype" w:cs="Simplified Arabic"/>
                <w:b/>
                <w:sz w:val="17"/>
                <w:szCs w:val="18"/>
                <w:lang w:val="en-GB"/>
              </w:rPr>
              <w:t>Panel A. Long-run estimates</w:t>
            </w:r>
          </w:p>
        </w:tc>
      </w:tr>
      <w:tr w:rsidR="00587784" w:rsidRPr="00B67805" w14:paraId="48CD03D2" w14:textId="77777777" w:rsidTr="00744F37">
        <w:trPr>
          <w:cantSplit/>
          <w:jc w:val="center"/>
        </w:trPr>
        <w:tc>
          <w:tcPr>
            <w:tcW w:w="2882" w:type="dxa"/>
            <w:vAlign w:val="center"/>
          </w:tcPr>
          <w:p w14:paraId="2DC4FAB2" w14:textId="77777777" w:rsidR="00587784" w:rsidRPr="00B67805" w:rsidRDefault="00587784" w:rsidP="00D6346F">
            <w:pPr>
              <w:spacing w:line="240" w:lineRule="atLeast"/>
              <w:jc w:val="center"/>
              <w:rPr>
                <w:rFonts w:ascii="Palatino Linotype" w:hAnsi="Palatino Linotype" w:cs="Simplified Arabic"/>
                <w:sz w:val="16"/>
                <w:szCs w:val="16"/>
                <w:lang w:val="en-GB"/>
              </w:rPr>
            </w:pPr>
            <w:r w:rsidRPr="00B67805">
              <w:rPr>
                <w:rFonts w:ascii="Palatino Linotype" w:hAnsi="Palatino Linotype" w:cs="Simplified Arabic"/>
                <w:b/>
                <w:sz w:val="16"/>
                <w:szCs w:val="16"/>
                <w:lang w:val="en-GB"/>
              </w:rPr>
              <w:t>Variable</w:t>
            </w:r>
          </w:p>
        </w:tc>
        <w:tc>
          <w:tcPr>
            <w:tcW w:w="1644" w:type="dxa"/>
            <w:vAlign w:val="center"/>
          </w:tcPr>
          <w:p w14:paraId="78D238CE" w14:textId="77777777" w:rsidR="00587784" w:rsidRPr="00B67805" w:rsidRDefault="00587784" w:rsidP="00D6346F">
            <w:pPr>
              <w:spacing w:line="240" w:lineRule="atLeast"/>
              <w:jc w:val="center"/>
              <w:rPr>
                <w:rFonts w:ascii="Palatino Linotype" w:hAnsi="Palatino Linotype" w:cs="Simplified Arabic"/>
                <w:sz w:val="16"/>
                <w:szCs w:val="16"/>
                <w:lang w:val="en-GB"/>
              </w:rPr>
            </w:pPr>
            <w:r w:rsidRPr="00B67805">
              <w:rPr>
                <w:rFonts w:ascii="Palatino Linotype" w:hAnsi="Palatino Linotype" w:cs="Simplified Arabic"/>
                <w:b/>
                <w:sz w:val="16"/>
                <w:szCs w:val="16"/>
                <w:lang w:val="en-GB"/>
              </w:rPr>
              <w:t>Coefficient</w:t>
            </w:r>
          </w:p>
        </w:tc>
        <w:tc>
          <w:tcPr>
            <w:tcW w:w="1411" w:type="dxa"/>
            <w:vAlign w:val="center"/>
          </w:tcPr>
          <w:p w14:paraId="33DA353E" w14:textId="77777777" w:rsidR="00587784" w:rsidRPr="00B67805" w:rsidRDefault="00587784" w:rsidP="00D6346F">
            <w:pPr>
              <w:spacing w:line="240" w:lineRule="atLeast"/>
              <w:jc w:val="center"/>
              <w:rPr>
                <w:rFonts w:ascii="Palatino Linotype" w:hAnsi="Palatino Linotype" w:cs="Simplified Arabic"/>
                <w:sz w:val="16"/>
                <w:szCs w:val="16"/>
                <w:lang w:val="en-GB"/>
              </w:rPr>
            </w:pPr>
            <w:r w:rsidRPr="00B67805">
              <w:rPr>
                <w:rFonts w:ascii="Palatino Linotype" w:hAnsi="Palatino Linotype" w:cs="Simplified Arabic"/>
                <w:b/>
                <w:sz w:val="16"/>
                <w:szCs w:val="16"/>
                <w:lang w:val="en-GB"/>
              </w:rPr>
              <w:t>HAC robust standard error</w:t>
            </w:r>
          </w:p>
        </w:tc>
        <w:tc>
          <w:tcPr>
            <w:tcW w:w="1719" w:type="dxa"/>
            <w:vAlign w:val="center"/>
          </w:tcPr>
          <w:p w14:paraId="55394F7C" w14:textId="77777777" w:rsidR="00587784" w:rsidRPr="00B67805" w:rsidRDefault="00587784" w:rsidP="00D6346F">
            <w:pPr>
              <w:spacing w:line="240" w:lineRule="atLeast"/>
              <w:jc w:val="center"/>
              <w:rPr>
                <w:rFonts w:ascii="Palatino Linotype" w:hAnsi="Palatino Linotype" w:cs="Simplified Arabic"/>
                <w:sz w:val="16"/>
                <w:szCs w:val="16"/>
                <w:lang w:val="en-GB"/>
              </w:rPr>
            </w:pPr>
            <w:r w:rsidRPr="00B67805">
              <w:rPr>
                <w:rFonts w:ascii="Palatino Linotype" w:hAnsi="Palatino Linotype" w:cs="Simplified Arabic"/>
                <w:b/>
                <w:sz w:val="16"/>
                <w:szCs w:val="16"/>
                <w:lang w:val="en-GB"/>
              </w:rPr>
              <w:t>t-statistic</w:t>
            </w:r>
          </w:p>
        </w:tc>
        <w:tc>
          <w:tcPr>
            <w:tcW w:w="1674" w:type="dxa"/>
            <w:vAlign w:val="center"/>
          </w:tcPr>
          <w:p w14:paraId="12AB1839" w14:textId="77777777" w:rsidR="00587784" w:rsidRPr="00B67805" w:rsidRDefault="00587784" w:rsidP="00D6346F">
            <w:pPr>
              <w:spacing w:line="240" w:lineRule="atLeast"/>
              <w:jc w:val="center"/>
              <w:rPr>
                <w:rFonts w:ascii="Palatino Linotype" w:hAnsi="Palatino Linotype" w:cs="Simplified Arabic"/>
                <w:sz w:val="16"/>
                <w:szCs w:val="16"/>
                <w:lang w:val="en-GB"/>
              </w:rPr>
            </w:pPr>
            <w:r w:rsidRPr="00B67805">
              <w:rPr>
                <w:rFonts w:ascii="Palatino Linotype" w:hAnsi="Palatino Linotype" w:cs="Simplified Arabic"/>
                <w:b/>
                <w:i/>
                <w:iCs/>
                <w:sz w:val="16"/>
                <w:szCs w:val="16"/>
                <w:lang w:val="en-GB"/>
              </w:rPr>
              <w:t>p</w:t>
            </w:r>
            <w:r w:rsidRPr="00B67805">
              <w:rPr>
                <w:rFonts w:ascii="Palatino Linotype" w:hAnsi="Palatino Linotype" w:cs="Simplified Arabic"/>
                <w:b/>
                <w:sz w:val="16"/>
                <w:szCs w:val="16"/>
                <w:lang w:val="en-GB"/>
              </w:rPr>
              <w:t>-value</w:t>
            </w:r>
          </w:p>
        </w:tc>
      </w:tr>
      <w:tr w:rsidR="00587784" w:rsidRPr="00B67805" w14:paraId="2E552F27" w14:textId="77777777" w:rsidTr="00744F37">
        <w:trPr>
          <w:cantSplit/>
          <w:jc w:val="center"/>
        </w:trPr>
        <w:tc>
          <w:tcPr>
            <w:tcW w:w="2882" w:type="dxa"/>
            <w:vAlign w:val="center"/>
          </w:tcPr>
          <w:p w14:paraId="7C186335"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GFCF</w:t>
            </w:r>
          </w:p>
        </w:tc>
        <w:tc>
          <w:tcPr>
            <w:tcW w:w="1644" w:type="dxa"/>
            <w:vAlign w:val="center"/>
          </w:tcPr>
          <w:p w14:paraId="4EA2D2E0"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-0.290522*</w:t>
            </w:r>
          </w:p>
        </w:tc>
        <w:tc>
          <w:tcPr>
            <w:tcW w:w="1411" w:type="dxa"/>
            <w:vAlign w:val="center"/>
          </w:tcPr>
          <w:p w14:paraId="5780C77F"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0.019645</w:t>
            </w:r>
          </w:p>
        </w:tc>
        <w:tc>
          <w:tcPr>
            <w:tcW w:w="1719" w:type="dxa"/>
            <w:vAlign w:val="center"/>
          </w:tcPr>
          <w:p w14:paraId="0272311A"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-14.78895</w:t>
            </w:r>
          </w:p>
        </w:tc>
        <w:tc>
          <w:tcPr>
            <w:tcW w:w="1674" w:type="dxa"/>
            <w:vAlign w:val="center"/>
          </w:tcPr>
          <w:p w14:paraId="71D25D60"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0.0000</w:t>
            </w:r>
          </w:p>
        </w:tc>
      </w:tr>
      <w:tr w:rsidR="00587784" w:rsidRPr="00B67805" w14:paraId="0DB3DBB8" w14:textId="77777777" w:rsidTr="00744F37">
        <w:trPr>
          <w:cantSplit/>
          <w:jc w:val="center"/>
        </w:trPr>
        <w:tc>
          <w:tcPr>
            <w:tcW w:w="2882" w:type="dxa"/>
            <w:vAlign w:val="center"/>
          </w:tcPr>
          <w:p w14:paraId="14FEBEB7"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EDU</w:t>
            </w:r>
          </w:p>
        </w:tc>
        <w:tc>
          <w:tcPr>
            <w:tcW w:w="1644" w:type="dxa"/>
            <w:vAlign w:val="center"/>
          </w:tcPr>
          <w:p w14:paraId="0BE73A44"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0.314007*</w:t>
            </w:r>
          </w:p>
        </w:tc>
        <w:tc>
          <w:tcPr>
            <w:tcW w:w="1411" w:type="dxa"/>
            <w:vAlign w:val="center"/>
          </w:tcPr>
          <w:p w14:paraId="40B2F6A1"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0.011336</w:t>
            </w:r>
          </w:p>
        </w:tc>
        <w:tc>
          <w:tcPr>
            <w:tcW w:w="1719" w:type="dxa"/>
            <w:vAlign w:val="center"/>
          </w:tcPr>
          <w:p w14:paraId="2CAC539C"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27.69999</w:t>
            </w:r>
          </w:p>
        </w:tc>
        <w:tc>
          <w:tcPr>
            <w:tcW w:w="1674" w:type="dxa"/>
            <w:vAlign w:val="center"/>
          </w:tcPr>
          <w:p w14:paraId="6A104855"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0.0000</w:t>
            </w:r>
          </w:p>
        </w:tc>
      </w:tr>
      <w:tr w:rsidR="00587784" w:rsidRPr="00B67805" w14:paraId="534CA3FD" w14:textId="77777777" w:rsidTr="00744F37">
        <w:trPr>
          <w:cantSplit/>
          <w:jc w:val="center"/>
        </w:trPr>
        <w:tc>
          <w:tcPr>
            <w:tcW w:w="2882" w:type="dxa"/>
            <w:vAlign w:val="center"/>
          </w:tcPr>
          <w:p w14:paraId="4800D877"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LBBND</w:t>
            </w:r>
          </w:p>
        </w:tc>
        <w:tc>
          <w:tcPr>
            <w:tcW w:w="1644" w:type="dxa"/>
            <w:vAlign w:val="center"/>
          </w:tcPr>
          <w:p w14:paraId="637D3707"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-2.608188*</w:t>
            </w:r>
          </w:p>
        </w:tc>
        <w:tc>
          <w:tcPr>
            <w:tcW w:w="1411" w:type="dxa"/>
            <w:vAlign w:val="center"/>
          </w:tcPr>
          <w:p w14:paraId="55B4F3AA"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0.038230</w:t>
            </w:r>
          </w:p>
        </w:tc>
        <w:tc>
          <w:tcPr>
            <w:tcW w:w="1719" w:type="dxa"/>
            <w:vAlign w:val="center"/>
          </w:tcPr>
          <w:p w14:paraId="19F49EB8"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-68.22357</w:t>
            </w:r>
          </w:p>
        </w:tc>
        <w:tc>
          <w:tcPr>
            <w:tcW w:w="1674" w:type="dxa"/>
            <w:vAlign w:val="center"/>
          </w:tcPr>
          <w:p w14:paraId="5879CA24"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0.0000</w:t>
            </w:r>
          </w:p>
        </w:tc>
      </w:tr>
      <w:tr w:rsidR="00587784" w:rsidRPr="00B67805" w14:paraId="25778108" w14:textId="77777777" w:rsidTr="00744F37">
        <w:trPr>
          <w:cantSplit/>
          <w:jc w:val="center"/>
        </w:trPr>
        <w:tc>
          <w:tcPr>
            <w:tcW w:w="2882" w:type="dxa"/>
            <w:vAlign w:val="center"/>
          </w:tcPr>
          <w:p w14:paraId="3E3C03BE"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EDUBBNDC</w:t>
            </w:r>
          </w:p>
        </w:tc>
        <w:tc>
          <w:tcPr>
            <w:tcW w:w="1644" w:type="dxa"/>
            <w:vAlign w:val="center"/>
          </w:tcPr>
          <w:p w14:paraId="1F6859E8"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-0.443111*</w:t>
            </w:r>
          </w:p>
        </w:tc>
        <w:tc>
          <w:tcPr>
            <w:tcW w:w="1411" w:type="dxa"/>
            <w:vAlign w:val="center"/>
          </w:tcPr>
          <w:p w14:paraId="014DD082"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0.006787</w:t>
            </w:r>
          </w:p>
        </w:tc>
        <w:tc>
          <w:tcPr>
            <w:tcW w:w="1719" w:type="dxa"/>
            <w:vAlign w:val="center"/>
          </w:tcPr>
          <w:p w14:paraId="2144B9AF"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-65.28674</w:t>
            </w:r>
          </w:p>
        </w:tc>
        <w:tc>
          <w:tcPr>
            <w:tcW w:w="1674" w:type="dxa"/>
            <w:vAlign w:val="center"/>
          </w:tcPr>
          <w:p w14:paraId="649439BA"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7"/>
                <w:szCs w:val="18"/>
                <w:lang w:val="en-GB"/>
              </w:rPr>
              <w:t>0.0000</w:t>
            </w:r>
          </w:p>
        </w:tc>
      </w:tr>
      <w:tr w:rsidR="00587784" w:rsidRPr="00B67805" w14:paraId="65CD1C35" w14:textId="77777777" w:rsidTr="00744F37">
        <w:trPr>
          <w:cantSplit/>
          <w:jc w:val="center"/>
        </w:trPr>
        <w:tc>
          <w:tcPr>
            <w:tcW w:w="9330" w:type="dxa"/>
            <w:gridSpan w:val="5"/>
            <w:vAlign w:val="center"/>
          </w:tcPr>
          <w:p w14:paraId="749DD3A3" w14:textId="77777777" w:rsidR="00587784" w:rsidRPr="00B67805" w:rsidRDefault="00587784" w:rsidP="00D6346F">
            <w:pPr>
              <w:keepNext/>
              <w:spacing w:line="240" w:lineRule="atLeast"/>
              <w:jc w:val="center"/>
              <w:rPr>
                <w:rFonts w:ascii="Palatino Linotype" w:hAnsi="Palatino Linotype" w:cs="Simplified Arabic"/>
                <w:szCs w:val="18"/>
                <w:lang w:val="en-GB"/>
              </w:rPr>
            </w:pPr>
            <w:r w:rsidRPr="00B67805">
              <w:rPr>
                <w:rFonts w:ascii="Palatino Linotype" w:hAnsi="Palatino Linotype" w:cs="Simplified Arabic"/>
                <w:b/>
                <w:sz w:val="17"/>
                <w:szCs w:val="18"/>
                <w:lang w:val="en-GB"/>
              </w:rPr>
              <w:t>Panel B. Short-run error-correction estimates</w:t>
            </w:r>
          </w:p>
        </w:tc>
      </w:tr>
      <w:tr w:rsidR="00587784" w:rsidRPr="00B67805" w14:paraId="65DC49AA" w14:textId="77777777" w:rsidTr="00744F37">
        <w:trPr>
          <w:cantSplit/>
          <w:jc w:val="center"/>
        </w:trPr>
        <w:tc>
          <w:tcPr>
            <w:tcW w:w="2882" w:type="dxa"/>
            <w:vAlign w:val="center"/>
          </w:tcPr>
          <w:p w14:paraId="08C0112C"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Constant</w:t>
            </w:r>
          </w:p>
        </w:tc>
        <w:tc>
          <w:tcPr>
            <w:tcW w:w="1644" w:type="dxa"/>
            <w:vAlign w:val="center"/>
          </w:tcPr>
          <w:p w14:paraId="4B5F7863"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5.764756*</w:t>
            </w:r>
          </w:p>
        </w:tc>
        <w:tc>
          <w:tcPr>
            <w:tcW w:w="1411" w:type="dxa"/>
            <w:vAlign w:val="center"/>
          </w:tcPr>
          <w:p w14:paraId="289A38AC"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0.412740</w:t>
            </w:r>
          </w:p>
        </w:tc>
        <w:tc>
          <w:tcPr>
            <w:tcW w:w="1719" w:type="dxa"/>
            <w:vAlign w:val="center"/>
          </w:tcPr>
          <w:p w14:paraId="3F7CD5A2"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13.96705</w:t>
            </w:r>
          </w:p>
        </w:tc>
        <w:tc>
          <w:tcPr>
            <w:tcW w:w="1674" w:type="dxa"/>
            <w:vAlign w:val="center"/>
          </w:tcPr>
          <w:p w14:paraId="331C75B4"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0.0000</w:t>
            </w:r>
          </w:p>
        </w:tc>
      </w:tr>
      <w:tr w:rsidR="00587784" w:rsidRPr="00B67805" w14:paraId="1F005C4E" w14:textId="77777777" w:rsidTr="00744F37">
        <w:trPr>
          <w:cantSplit/>
          <w:jc w:val="center"/>
        </w:trPr>
        <w:tc>
          <w:tcPr>
            <w:tcW w:w="2882" w:type="dxa"/>
            <w:vAlign w:val="center"/>
          </w:tcPr>
          <w:p w14:paraId="4F02DF57"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ΔEDUBBNDC</w:t>
            </w:r>
          </w:p>
        </w:tc>
        <w:tc>
          <w:tcPr>
            <w:tcW w:w="1644" w:type="dxa"/>
            <w:vAlign w:val="center"/>
          </w:tcPr>
          <w:p w14:paraId="3C3EEB9D"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-0.255056*</w:t>
            </w:r>
          </w:p>
        </w:tc>
        <w:tc>
          <w:tcPr>
            <w:tcW w:w="1411" w:type="dxa"/>
            <w:vAlign w:val="center"/>
          </w:tcPr>
          <w:p w14:paraId="54E1CC29"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0.027161</w:t>
            </w:r>
          </w:p>
        </w:tc>
        <w:tc>
          <w:tcPr>
            <w:tcW w:w="1719" w:type="dxa"/>
            <w:vAlign w:val="center"/>
          </w:tcPr>
          <w:p w14:paraId="756230D6"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-9.390532</w:t>
            </w:r>
          </w:p>
        </w:tc>
        <w:tc>
          <w:tcPr>
            <w:tcW w:w="1674" w:type="dxa"/>
            <w:vAlign w:val="center"/>
          </w:tcPr>
          <w:p w14:paraId="52F869D1"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0.0000</w:t>
            </w:r>
          </w:p>
        </w:tc>
      </w:tr>
      <w:tr w:rsidR="00587784" w:rsidRPr="00B67805" w14:paraId="281BD31E" w14:textId="77777777" w:rsidTr="00744F37">
        <w:trPr>
          <w:cantSplit/>
          <w:jc w:val="center"/>
        </w:trPr>
        <w:tc>
          <w:tcPr>
            <w:tcW w:w="2882" w:type="dxa"/>
            <w:vAlign w:val="center"/>
          </w:tcPr>
          <w:p w14:paraId="6BE1ECF5"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DUM2011</w:t>
            </w:r>
          </w:p>
        </w:tc>
        <w:tc>
          <w:tcPr>
            <w:tcW w:w="1644" w:type="dxa"/>
            <w:vAlign w:val="center"/>
          </w:tcPr>
          <w:p w14:paraId="554C5DED"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3.819878*</w:t>
            </w:r>
          </w:p>
        </w:tc>
        <w:tc>
          <w:tcPr>
            <w:tcW w:w="1411" w:type="dxa"/>
            <w:vAlign w:val="center"/>
          </w:tcPr>
          <w:p w14:paraId="6DBC2EBA"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0.297846</w:t>
            </w:r>
          </w:p>
        </w:tc>
        <w:tc>
          <w:tcPr>
            <w:tcW w:w="1719" w:type="dxa"/>
            <w:vAlign w:val="center"/>
          </w:tcPr>
          <w:p w14:paraId="67598968"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12.82501</w:t>
            </w:r>
          </w:p>
        </w:tc>
        <w:tc>
          <w:tcPr>
            <w:tcW w:w="1674" w:type="dxa"/>
            <w:vAlign w:val="center"/>
          </w:tcPr>
          <w:p w14:paraId="70F95416"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0.0000</w:t>
            </w:r>
          </w:p>
        </w:tc>
      </w:tr>
      <w:tr w:rsidR="00587784" w:rsidRPr="00B67805" w14:paraId="70E932DA" w14:textId="77777777" w:rsidTr="00744F37">
        <w:trPr>
          <w:cantSplit/>
          <w:jc w:val="center"/>
        </w:trPr>
        <w:tc>
          <w:tcPr>
            <w:tcW w:w="2882" w:type="dxa"/>
            <w:vAlign w:val="center"/>
          </w:tcPr>
          <w:p w14:paraId="4E7EFAF1"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ECT(t-1)</w:t>
            </w:r>
          </w:p>
        </w:tc>
        <w:tc>
          <w:tcPr>
            <w:tcW w:w="1644" w:type="dxa"/>
            <w:vAlign w:val="center"/>
          </w:tcPr>
          <w:p w14:paraId="786DCF9B"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-0.919128*</w:t>
            </w:r>
          </w:p>
        </w:tc>
        <w:tc>
          <w:tcPr>
            <w:tcW w:w="1411" w:type="dxa"/>
            <w:vAlign w:val="center"/>
          </w:tcPr>
          <w:p w14:paraId="27C26845"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0.061819</w:t>
            </w:r>
          </w:p>
        </w:tc>
        <w:tc>
          <w:tcPr>
            <w:tcW w:w="1719" w:type="dxa"/>
            <w:vAlign w:val="center"/>
          </w:tcPr>
          <w:p w14:paraId="6826D563"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-14.86795</w:t>
            </w:r>
          </w:p>
        </w:tc>
        <w:tc>
          <w:tcPr>
            <w:tcW w:w="1674" w:type="dxa"/>
            <w:vAlign w:val="center"/>
          </w:tcPr>
          <w:p w14:paraId="34D52B41"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0.0000†</w:t>
            </w:r>
          </w:p>
        </w:tc>
      </w:tr>
      <w:tr w:rsidR="00587784" w:rsidRPr="00B67805" w14:paraId="7098A1DF" w14:textId="77777777" w:rsidTr="00744F37">
        <w:trPr>
          <w:cantSplit/>
          <w:jc w:val="center"/>
        </w:trPr>
        <w:tc>
          <w:tcPr>
            <w:tcW w:w="9330" w:type="dxa"/>
            <w:gridSpan w:val="5"/>
            <w:vAlign w:val="center"/>
          </w:tcPr>
          <w:p w14:paraId="3D50D805" w14:textId="77777777" w:rsidR="00587784" w:rsidRPr="00B67805" w:rsidRDefault="00587784" w:rsidP="00D6346F">
            <w:pPr>
              <w:spacing w:line="240" w:lineRule="atLeast"/>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R-squared = 0.925532                                             Adjusted R-squared= 0.913121</w:t>
            </w:r>
          </w:p>
          <w:p w14:paraId="617C1759" w14:textId="77777777" w:rsidR="00587784" w:rsidRPr="00B67805" w:rsidRDefault="00587784" w:rsidP="00D6346F">
            <w:pPr>
              <w:spacing w:line="240" w:lineRule="atLeast"/>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 xml:space="preserve">F-statistic =74.57165 (p-value =0.000)                       </w:t>
            </w:r>
          </w:p>
        </w:tc>
      </w:tr>
      <w:tr w:rsidR="00587784" w:rsidRPr="00B67805" w14:paraId="1384A35F" w14:textId="77777777" w:rsidTr="00744F37">
        <w:trPr>
          <w:cantSplit/>
          <w:jc w:val="center"/>
        </w:trPr>
        <w:tc>
          <w:tcPr>
            <w:tcW w:w="9330" w:type="dxa"/>
            <w:gridSpan w:val="5"/>
            <w:vAlign w:val="center"/>
          </w:tcPr>
          <w:p w14:paraId="2A86E179" w14:textId="77777777" w:rsidR="00587784" w:rsidRPr="00B67805" w:rsidRDefault="00587784" w:rsidP="00D6346F">
            <w:pPr>
              <w:keepNext/>
              <w:spacing w:line="240" w:lineRule="atLeast"/>
              <w:jc w:val="center"/>
              <w:rPr>
                <w:rFonts w:ascii="Palatino Linotype" w:hAnsi="Palatino Linotype" w:cs="Simplified Arabic"/>
                <w:b/>
                <w:sz w:val="17"/>
                <w:szCs w:val="18"/>
                <w:lang w:val="en-GB"/>
              </w:rPr>
            </w:pPr>
            <w:r w:rsidRPr="00B67805">
              <w:rPr>
                <w:rFonts w:ascii="Palatino Linotype" w:hAnsi="Palatino Linotype" w:cs="Simplified Arabic"/>
                <w:b/>
                <w:sz w:val="17"/>
                <w:szCs w:val="18"/>
                <w:lang w:val="en-GB"/>
              </w:rPr>
              <w:lastRenderedPageBreak/>
              <w:t>Panel C: Diagnostic Tests</w:t>
            </w:r>
          </w:p>
        </w:tc>
      </w:tr>
      <w:tr w:rsidR="00587784" w:rsidRPr="00B67805" w14:paraId="19069D99" w14:textId="77777777" w:rsidTr="00744F37">
        <w:trPr>
          <w:cantSplit/>
          <w:trHeight w:val="213"/>
          <w:jc w:val="center"/>
        </w:trPr>
        <w:tc>
          <w:tcPr>
            <w:tcW w:w="2882" w:type="dxa"/>
            <w:vAlign w:val="center"/>
          </w:tcPr>
          <w:p w14:paraId="627C20C4"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 xml:space="preserve">Jarque-Bera  </w:t>
            </w:r>
          </w:p>
        </w:tc>
        <w:tc>
          <w:tcPr>
            <w:tcW w:w="6448" w:type="dxa"/>
            <w:gridSpan w:val="4"/>
            <w:vAlign w:val="center"/>
          </w:tcPr>
          <w:p w14:paraId="4F01F451"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 xml:space="preserve">0.705 [0.7]                   </w:t>
            </w:r>
          </w:p>
        </w:tc>
      </w:tr>
      <w:tr w:rsidR="00587784" w:rsidRPr="00B67805" w14:paraId="7ABC27FD" w14:textId="77777777" w:rsidTr="00744F37">
        <w:trPr>
          <w:cantSplit/>
          <w:jc w:val="center"/>
        </w:trPr>
        <w:tc>
          <w:tcPr>
            <w:tcW w:w="2882" w:type="dxa"/>
            <w:vAlign w:val="center"/>
          </w:tcPr>
          <w:p w14:paraId="2DD8A5B7"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Breusch-Godfrey LM serial correlation</w:t>
            </w:r>
          </w:p>
        </w:tc>
        <w:tc>
          <w:tcPr>
            <w:tcW w:w="6448" w:type="dxa"/>
            <w:gridSpan w:val="4"/>
            <w:vAlign w:val="center"/>
          </w:tcPr>
          <w:p w14:paraId="6B5A1A9F"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F(2,12) = 2.292 [0.143]</w:t>
            </w:r>
          </w:p>
        </w:tc>
      </w:tr>
      <w:tr w:rsidR="00587784" w:rsidRPr="00B67805" w14:paraId="58248A14" w14:textId="77777777" w:rsidTr="00744F37">
        <w:trPr>
          <w:cantSplit/>
          <w:jc w:val="center"/>
        </w:trPr>
        <w:tc>
          <w:tcPr>
            <w:tcW w:w="2882" w:type="dxa"/>
            <w:vAlign w:val="center"/>
          </w:tcPr>
          <w:p w14:paraId="1F571A36"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 xml:space="preserve">Breusch-Pagan-Godfrey Heteroscedasticity </w:t>
            </w:r>
          </w:p>
        </w:tc>
        <w:tc>
          <w:tcPr>
            <w:tcW w:w="6448" w:type="dxa"/>
            <w:gridSpan w:val="4"/>
            <w:vAlign w:val="center"/>
          </w:tcPr>
          <w:p w14:paraId="6B95427C"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F(7, 14) = 1.727 [0.181]</w:t>
            </w:r>
          </w:p>
        </w:tc>
      </w:tr>
      <w:tr w:rsidR="00587784" w:rsidRPr="00B67805" w14:paraId="29893DA4" w14:textId="77777777" w:rsidTr="00744F37">
        <w:trPr>
          <w:cantSplit/>
          <w:jc w:val="center"/>
        </w:trPr>
        <w:tc>
          <w:tcPr>
            <w:tcW w:w="2882" w:type="dxa"/>
            <w:vAlign w:val="center"/>
          </w:tcPr>
          <w:p w14:paraId="0CD20500"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Ramsey RESET test</w:t>
            </w:r>
          </w:p>
        </w:tc>
        <w:tc>
          <w:tcPr>
            <w:tcW w:w="6448" w:type="dxa"/>
            <w:gridSpan w:val="4"/>
            <w:vAlign w:val="center"/>
          </w:tcPr>
          <w:p w14:paraId="70167B68"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F(1,13) =0.6371</w:t>
            </w:r>
            <w:r w:rsidRPr="00B67805">
              <w:rPr>
                <w:rFonts w:ascii="Palatino Linotype" w:hAnsi="Palatino Linotype" w:cs="Simplified Arabic"/>
                <w:sz w:val="17"/>
                <w:szCs w:val="18"/>
                <w:rtl/>
                <w:lang w:val="en-GB"/>
              </w:rPr>
              <w:t xml:space="preserve">   </w:t>
            </w:r>
            <w:r w:rsidRPr="00B67805">
              <w:rPr>
                <w:rFonts w:ascii="Palatino Linotype" w:hAnsi="Palatino Linotype" w:cs="Simplified Arabic"/>
                <w:sz w:val="17"/>
                <w:szCs w:val="18"/>
                <w:lang w:val="en-GB"/>
              </w:rPr>
              <w:t xml:space="preserve"> [0.439]</w:t>
            </w:r>
          </w:p>
        </w:tc>
      </w:tr>
      <w:tr w:rsidR="00587784" w:rsidRPr="00B67805" w14:paraId="3A842A8B" w14:textId="77777777" w:rsidTr="00744F37">
        <w:trPr>
          <w:cantSplit/>
          <w:jc w:val="center"/>
        </w:trPr>
        <w:tc>
          <w:tcPr>
            <w:tcW w:w="2882" w:type="dxa"/>
            <w:vAlign w:val="center"/>
          </w:tcPr>
          <w:p w14:paraId="110E95F9"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CUSUM</w:t>
            </w:r>
          </w:p>
        </w:tc>
        <w:tc>
          <w:tcPr>
            <w:tcW w:w="6448" w:type="dxa"/>
            <w:gridSpan w:val="4"/>
            <w:vAlign w:val="center"/>
          </w:tcPr>
          <w:p w14:paraId="779C1951"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Stable (Figure 4-6/Panel A)</w:t>
            </w:r>
          </w:p>
        </w:tc>
      </w:tr>
      <w:tr w:rsidR="00587784" w:rsidRPr="00B67805" w14:paraId="01EEA2AB" w14:textId="77777777" w:rsidTr="00744F37">
        <w:trPr>
          <w:cantSplit/>
          <w:jc w:val="center"/>
        </w:trPr>
        <w:tc>
          <w:tcPr>
            <w:tcW w:w="2882" w:type="dxa"/>
            <w:vAlign w:val="center"/>
          </w:tcPr>
          <w:p w14:paraId="7B60E28C" w14:textId="77777777" w:rsidR="00587784" w:rsidRPr="00B67805" w:rsidRDefault="00587784" w:rsidP="00D6346F">
            <w:pPr>
              <w:spacing w:line="240" w:lineRule="atLeast"/>
              <w:jc w:val="center"/>
              <w:rPr>
                <w:rFonts w:ascii="Palatino Linotype" w:hAnsi="Palatino Linotype" w:cs="Simplified Arabic"/>
                <w:sz w:val="18"/>
                <w:szCs w:val="18"/>
                <w:lang w:val="en-GB"/>
              </w:rPr>
            </w:pPr>
            <w:r w:rsidRPr="00B67805">
              <w:rPr>
                <w:rFonts w:ascii="Palatino Linotype" w:hAnsi="Palatino Linotype" w:cs="Simplified Arabic"/>
                <w:sz w:val="18"/>
                <w:szCs w:val="18"/>
                <w:lang w:val="en-GB"/>
              </w:rPr>
              <w:t>CUSUMSQ</w:t>
            </w:r>
          </w:p>
        </w:tc>
        <w:tc>
          <w:tcPr>
            <w:tcW w:w="6448" w:type="dxa"/>
            <w:gridSpan w:val="4"/>
            <w:vAlign w:val="center"/>
          </w:tcPr>
          <w:p w14:paraId="4EDFFCB6" w14:textId="77777777" w:rsidR="00587784" w:rsidRPr="00B67805" w:rsidRDefault="00587784" w:rsidP="00D6346F">
            <w:pPr>
              <w:spacing w:line="240" w:lineRule="atLeast"/>
              <w:jc w:val="center"/>
              <w:rPr>
                <w:rFonts w:ascii="Palatino Linotype" w:hAnsi="Palatino Linotype" w:cs="Simplified Arabic"/>
                <w:sz w:val="17"/>
                <w:szCs w:val="18"/>
                <w:lang w:val="en-GB"/>
              </w:rPr>
            </w:pPr>
            <w:r w:rsidRPr="00B67805">
              <w:rPr>
                <w:rFonts w:ascii="Palatino Linotype" w:hAnsi="Palatino Linotype" w:cs="Simplified Arabic"/>
                <w:sz w:val="17"/>
                <w:szCs w:val="18"/>
                <w:lang w:val="en-GB"/>
              </w:rPr>
              <w:t>Stable (Figure 4-6/Panel B)</w:t>
            </w:r>
          </w:p>
        </w:tc>
      </w:tr>
      <w:tr w:rsidR="00587784" w:rsidRPr="00B67805" w14:paraId="74263D3E" w14:textId="77777777" w:rsidTr="00744F37">
        <w:trPr>
          <w:cantSplit/>
          <w:jc w:val="center"/>
        </w:trPr>
        <w:tc>
          <w:tcPr>
            <w:tcW w:w="9330" w:type="dxa"/>
            <w:gridSpan w:val="5"/>
            <w:vAlign w:val="center"/>
          </w:tcPr>
          <w:p w14:paraId="3AE337B6" w14:textId="77777777" w:rsidR="00587784" w:rsidRPr="00D6346F" w:rsidRDefault="00587784" w:rsidP="00D6346F">
            <w:pPr>
              <w:spacing w:line="200" w:lineRule="atLeast"/>
              <w:rPr>
                <w:rFonts w:ascii="Palatino Linotype" w:hAnsi="Palatino Linotype" w:cs="Simplified Arabic"/>
                <w:sz w:val="14"/>
                <w:szCs w:val="14"/>
                <w:lang w:val="en-GB"/>
              </w:rPr>
            </w:pPr>
            <w:r w:rsidRPr="00D6346F">
              <w:rPr>
                <w:rFonts w:ascii="Palatino Linotype" w:hAnsi="Palatino Linotype" w:cs="Simplified Arabic"/>
                <w:sz w:val="14"/>
                <w:szCs w:val="14"/>
                <w:lang w:val="en-GB"/>
              </w:rPr>
              <w:t>Notes:* Significant at the 1% level. † Formal inference for ECT(t-1) is based on the t-bounds test reported in Table 4-5. For the diagnostic tests in Panel C, p-values are reported in square brackets following the corresponding test statistics.</w:t>
            </w:r>
          </w:p>
          <w:p w14:paraId="39DD26CC" w14:textId="77777777" w:rsidR="00587784" w:rsidRPr="00B67805" w:rsidRDefault="00587784" w:rsidP="00D6346F">
            <w:pPr>
              <w:spacing w:line="200" w:lineRule="atLeast"/>
              <w:rPr>
                <w:rFonts w:ascii="Palatino Linotype" w:hAnsi="Palatino Linotype" w:cs="Simplified Arabic"/>
                <w:sz w:val="17"/>
                <w:szCs w:val="18"/>
                <w:lang w:val="en-GB"/>
              </w:rPr>
            </w:pPr>
            <w:r w:rsidRPr="00B67805">
              <w:rPr>
                <w:rFonts w:ascii="Palatino Linotype" w:hAnsi="Palatino Linotype" w:cs="Simplified Arabic"/>
                <w:b/>
                <w:bCs/>
                <w:sz w:val="16"/>
                <w:szCs w:val="16"/>
                <w:lang w:val="en-GB"/>
              </w:rPr>
              <w:t>Source:</w:t>
            </w:r>
            <w:r w:rsidRPr="00B67805">
              <w:rPr>
                <w:rFonts w:ascii="Palatino Linotype" w:hAnsi="Palatino Linotype" w:cs="Simplified Arabic"/>
                <w:sz w:val="16"/>
                <w:szCs w:val="16"/>
                <w:lang w:val="en-GB"/>
              </w:rPr>
              <w:t xml:space="preserve"> Author's calculations using EViews 12</w:t>
            </w:r>
          </w:p>
        </w:tc>
      </w:tr>
    </w:tbl>
    <w:p w14:paraId="3007A702"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bookmarkStart w:id="2" w:name="_Hlk237636317"/>
      <w:r w:rsidRPr="00D6346F">
        <w:rPr>
          <w:rFonts w:ascii="Palatino Linotype" w:hAnsi="Palatino Linotype" w:cs="Simplified Arabic"/>
          <w:sz w:val="18"/>
          <w:szCs w:val="18"/>
          <w:lang w:val="en-GB"/>
        </w:rPr>
        <w:t>All long-run coefficients are statistically significant at the 1% level. GFCF has a coefficient of -0.290522 (p = 0.0000), indicating that, ceteris paribus, a one-percentage-point increase in gross fixed capital formation as a share of GDP is associated with an approximately 0.291-percentage-point reduction in unemployment. This result supports the proposition that capital accumulation expands productive capacity and labour demand. It is consistent with Oseni and Oyelade (2023), who find a negative and significant effect of gross capital formation on unemployment in Nigeria; Bayar (2016), who reports a negative relationship between domestic investment and unemployment in emerging-market economies; and Almula-Dhanoon et al. (2020), who obtain a similar result for MENA countries.</w:t>
      </w:r>
    </w:p>
    <w:bookmarkEnd w:id="2"/>
    <w:p w14:paraId="309EBE16"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LBBND also has a negative and statistically significant long-run coefficient of -2.608188 (p = 0.0000). Because broadband subscriptions are expressed in natural logarithms while unemployment is measured in percentage points, the coefficient is a semi-elasticity. At the sample mean of tertiary enrolment, a 1% increase in fixed broadband subscriptions per 100 people is associated with an approximate 0.026-percentage-point reduction in unemployment. This association may operate through improved information flows, remote-working opportunities, digital entrepreneurship, e-commerce, and technology-enabled services. The result is consistent with Sarabdeen and Alofaysan (2023), whose ARDL analysis shows that fixed broadband expansion reduces unemployment in Saudi Arabia. Although differences in economic structure, labour-market institutions, and human-capital measurement prevent direct comparison of coefficient magnitudes, both studies suggest that digital connectivity can contribute to more favourable labour-market outcomes.</w:t>
      </w:r>
    </w:p>
    <w:p w14:paraId="54EF1AF9"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 xml:space="preserve">EDU has a positive and significant coefficient of 0.314007 (p = 0.0000). Because the model includes a mean-centred interaction term, this coefficient represents the effect of tertiary enrolment when broadband is at its sample mean, rather than an unconditional effect of education. Its positive sign may reflect the expansion of higher education without a corresponding increase in suitable employment, owing to skill mismatch, delayed graduate absorption, or weak demand for highly educated labour. This interpretation is compatible with Assaad, Krafft, and Salehi-Isfahani (2018), who identify a substantial </w:t>
      </w:r>
      <w:r w:rsidRPr="00D6346F">
        <w:rPr>
          <w:rFonts w:ascii="Palatino Linotype" w:hAnsi="Palatino Linotype" w:cs="Simplified Arabic"/>
          <w:sz w:val="18"/>
          <w:szCs w:val="18"/>
          <w:lang w:val="en-GB"/>
        </w:rPr>
        <w:lastRenderedPageBreak/>
        <w:t>mismatch between higher-education output and labour-market requirements in Egypt and Jordan. The result therefore does not imply that education inherently increases unemployment.</w:t>
      </w:r>
    </w:p>
    <w:p w14:paraId="73EA9925"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The study's most distinctive finding is the negative and statistically significant coefficient on EDUBBNDC (-0.443111; p = 0.0000). It shows that tertiary education moderates the broadband-unemployment relationship: as tertiary enrolment rises above its sample mean, the unemployment-reducing association of broadband becomes stronger, whereas at lower levels of tertiary education it is weaker. Conversely, the effect of education becomes progressively more favourable as broadband connectivity rises relative to its sample mean. The main and interaction effects must therefore be interpreted jointly.</w:t>
      </w:r>
    </w:p>
    <w:p w14:paraId="0A0226B7"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This finding provides direct empirical support for the technology-skill complementarity hypothesis. It is closely aligned with Akerman et al. (2015), who show that broadband adoption improves the productivity and labour-market outcomes of skilled workers while producing less favourable outcomes for less-skilled workers. Although their study does not estimate the same interaction term, the mechanism is consistent: digital infrastructure generates greater labour-market benefits when workers possess the skills required to use it productively. The result also accords with the task-based perspective of Autor et al. (2003), in which technological change complements non-routine, skill-intensive work while substituting more readily for routine labour.</w:t>
      </w:r>
    </w:p>
    <w:p w14:paraId="0F940124" w14:textId="77777777" w:rsidR="00587784" w:rsidRPr="00D6346F" w:rsidRDefault="00587784" w:rsidP="00D6346F">
      <w:pPr>
        <w:spacing w:after="60" w:line="240" w:lineRule="atLeast"/>
        <w:rPr>
          <w:rFonts w:ascii="Palatino Linotype" w:hAnsi="Palatino Linotype" w:cs="Simplified Arabic"/>
          <w:b/>
          <w:bCs/>
          <w:sz w:val="22"/>
          <w:szCs w:val="22"/>
          <w:lang w:val="en-GB"/>
        </w:rPr>
      </w:pPr>
      <w:r w:rsidRPr="00D6346F">
        <w:rPr>
          <w:rFonts w:ascii="Palatino Linotype" w:hAnsi="Palatino Linotype" w:cs="Simplified Arabic"/>
          <w:b/>
          <w:bCs/>
          <w:sz w:val="22"/>
          <w:szCs w:val="22"/>
          <w:lang w:val="en-GB"/>
        </w:rPr>
        <w:t>5.3 Short-run error-correction dynamics</w:t>
      </w:r>
    </w:p>
    <w:p w14:paraId="3BFC8092" w14:textId="77777777" w:rsidR="00587784" w:rsidRPr="00B67805" w:rsidRDefault="00587784" w:rsidP="00D6346F">
      <w:pPr>
        <w:spacing w:after="60" w:line="240" w:lineRule="atLeast"/>
        <w:ind w:firstLine="540"/>
        <w:rPr>
          <w:rFonts w:ascii="Palatino Linotype" w:hAnsi="Palatino Linotype" w:cs="Simplified Arabic"/>
          <w:lang w:val="en-GB"/>
        </w:rPr>
      </w:pPr>
      <w:r w:rsidRPr="00B67805">
        <w:rPr>
          <w:rFonts w:ascii="Palatino Linotype" w:hAnsi="Palatino Linotype" w:cs="Simplified Arabic"/>
          <w:lang w:val="en-GB"/>
        </w:rPr>
        <w:t>Panel B of Table 6 reports the short-run estimates from the selected ARDL(1,0,0,0,1) model. Only EDUBBNDC has a positive lag order and therefore appears as a differenced term in the restricted ECM. The absence of differenced GFCF, EDU, and LBBND terms reflects their zero lag orders, not their irrelevance, as their effects enter the long-run equilibrium relationship.</w:t>
      </w:r>
    </w:p>
    <w:p w14:paraId="60DD273F"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The coefficient on ΔEDUBBNDC is negative and highly significant (−0.2551), confirming that the complementarity between tertiary education and broadband connectivity also reduces unemployment in the short run. DUM2011 is positive and significant (3.8199), indicating an exceptional temporary increase of approximately 3.82 percentage points in the annual unemployment change in 2011. The error-correction coefficient is negative and significant (−0.9191), implying that approximately 91.9% of the preceding year's disequilibrium is corrected within one year. Formal inference on this relationship is based on the t-bounds test reported in Table 5.</w:t>
      </w:r>
    </w:p>
    <w:p w14:paraId="1F377D4C" w14:textId="77777777" w:rsidR="00587784" w:rsidRPr="00D6346F" w:rsidRDefault="00587784" w:rsidP="00D6346F">
      <w:pPr>
        <w:spacing w:after="60" w:line="240" w:lineRule="atLeast"/>
        <w:ind w:firstLine="540"/>
        <w:rPr>
          <w:rFonts w:ascii="Palatino Linotype" w:hAnsi="Palatino Linotype" w:cs="Simplified Arabic"/>
          <w:sz w:val="18"/>
          <w:szCs w:val="18"/>
          <w:lang w:val="en-GB"/>
        </w:rPr>
      </w:pPr>
      <w:r w:rsidRPr="00D6346F">
        <w:rPr>
          <w:rFonts w:ascii="Palatino Linotype" w:hAnsi="Palatino Linotype" w:cs="Simplified Arabic"/>
          <w:sz w:val="18"/>
          <w:szCs w:val="18"/>
          <w:lang w:val="en-GB"/>
        </w:rPr>
        <w:t>The model has strong explanatory power, with an adjusted R2 of 0.9131 and a significant overall F-statistic of 74.5717. The diagnostic tests reported in Panel C indicate normally distributed residuals (Jarque–Bera statistic is 0.705 with p=0.700), no significant serial correlation (Breusch–Godfrey p=0.143), no heteroskedasticity (Breusch–Pagan–Godfrey p=0.181), and no evidence of functional-form misspecification (Ramsey RESET p=0.439).</w:t>
      </w:r>
    </w:p>
    <w:p w14:paraId="2ECE852E" w14:textId="77777777" w:rsidR="00587784" w:rsidRPr="00D6346F" w:rsidRDefault="00587784" w:rsidP="00D6346F">
      <w:pPr>
        <w:spacing w:before="240" w:after="60" w:line="240" w:lineRule="auto"/>
        <w:rPr>
          <w:rFonts w:ascii="Palatino Linotype" w:hAnsi="Palatino Linotype" w:cs="Simplified Arabic"/>
          <w:b/>
          <w:bCs/>
          <w:sz w:val="22"/>
          <w:szCs w:val="22"/>
          <w:lang w:val="en-GB"/>
        </w:rPr>
      </w:pPr>
      <w:r w:rsidRPr="00D6346F">
        <w:rPr>
          <w:rFonts w:ascii="Palatino Linotype" w:hAnsi="Palatino Linotype" w:cs="Simplified Arabic"/>
          <w:b/>
          <w:bCs/>
          <w:sz w:val="22"/>
          <w:szCs w:val="22"/>
          <w:lang w:val="en-GB"/>
        </w:rPr>
        <w:t>5.4 Parameter stability</w:t>
      </w:r>
    </w:p>
    <w:p w14:paraId="43D814DF" w14:textId="77777777" w:rsidR="00587784" w:rsidRPr="00B67805" w:rsidRDefault="00587784" w:rsidP="00D6346F">
      <w:pPr>
        <w:spacing w:after="60" w:line="240" w:lineRule="auto"/>
        <w:ind w:firstLine="540"/>
        <w:rPr>
          <w:rFonts w:ascii="Palatino Linotype" w:hAnsi="Palatino Linotype" w:cs="Simplified Arabic"/>
          <w:lang w:val="en-GB"/>
        </w:rPr>
      </w:pPr>
      <w:r w:rsidRPr="00B67805">
        <w:rPr>
          <w:rFonts w:ascii="Palatino Linotype" w:hAnsi="Palatino Linotype" w:cs="Simplified Arabic"/>
          <w:lang w:val="en-GB"/>
        </w:rPr>
        <w:t xml:space="preserve">Figure (6) presents the CUSUM and CUSUM of Squares stability tests. In both panels, the respective statistics remain within the 5% critical bounds throughout the recursive evaluation </w:t>
      </w:r>
      <w:r w:rsidRPr="00B67805">
        <w:rPr>
          <w:rFonts w:ascii="Palatino Linotype" w:hAnsi="Palatino Linotype" w:cs="Simplified Arabic"/>
          <w:lang w:val="en-GB"/>
        </w:rPr>
        <w:lastRenderedPageBreak/>
        <w:t>period. The CUSUM plot therefore provides no evidence of systematic instability in the estimated coefficients, while the CUSUM of Squares test similarly indicates stability in the variance and overall recursive behaviour of the model. The fact that the plots begin in 2012 reflects the recursive-residual procedure, which requires an initial subsample sufficiently large to estimate the model parameters before recursive residuals can be generated.</w:t>
      </w:r>
    </w:p>
    <w:p w14:paraId="53A57CB6" w14:textId="77777777" w:rsidR="00587784" w:rsidRPr="00B67805" w:rsidRDefault="00587784" w:rsidP="00D6346F">
      <w:pPr>
        <w:spacing w:after="60" w:line="240" w:lineRule="atLeast"/>
        <w:ind w:firstLine="540"/>
        <w:rPr>
          <w:rFonts w:ascii="Palatino Linotype" w:hAnsi="Palatino Linotype" w:cs="Simplified Arabic"/>
          <w:lang w:val="en-GB"/>
        </w:rPr>
      </w:pPr>
      <w:r w:rsidRPr="00B67805">
        <w:rPr>
          <w:rFonts w:ascii="Palatino Linotype" w:hAnsi="Palatino Linotype" w:cs="Simplified Arabic"/>
          <w:lang w:val="en-GB"/>
        </w:rPr>
        <w:t>Taken together, the CUSUM and CUSUM of Squares results support the stability of the fixed-broadband ARDL specification over the period for which recursive estimates are available. This is particularly important given the substantial economic and institutional changes that occurred during the study period.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3"/>
      </w:tblGrid>
      <w:tr w:rsidR="00587784" w:rsidRPr="00B67805" w14:paraId="38B67703" w14:textId="77777777" w:rsidTr="00CE31CE">
        <w:tc>
          <w:tcPr>
            <w:tcW w:w="8283" w:type="dxa"/>
          </w:tcPr>
          <w:p w14:paraId="4CECEFC0"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Panel (A)</w:t>
            </w:r>
          </w:p>
        </w:tc>
      </w:tr>
      <w:tr w:rsidR="00587784" w:rsidRPr="00B67805" w14:paraId="6B9167FB" w14:textId="77777777" w:rsidTr="00CE31CE">
        <w:trPr>
          <w:trHeight w:val="3363"/>
        </w:trPr>
        <w:tc>
          <w:tcPr>
            <w:tcW w:w="8283" w:type="dxa"/>
          </w:tcPr>
          <w:p w14:paraId="4B0074E6"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rtl/>
                <w:lang w:val="en-GB"/>
              </w:rPr>
              <w:drawing>
                <wp:inline distT="0" distB="0" distL="0" distR="0" wp14:anchorId="72DEF3D8" wp14:editId="09F29942">
                  <wp:extent cx="3702403" cy="2181225"/>
                  <wp:effectExtent l="0" t="0" r="0" b="0"/>
                  <wp:docPr id="1031" name="Picture 1" descr="A graph of a graph showing the difference between a fixed-broadband and a fixed-broadba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6" cstate="print"/>
                          <a:srcRect/>
                          <a:stretch/>
                        </pic:blipFill>
                        <pic:spPr>
                          <a:xfrm>
                            <a:off x="0" y="0"/>
                            <a:ext cx="3714607" cy="2188415"/>
                          </a:xfrm>
                          <a:prstGeom prst="rect">
                            <a:avLst/>
                          </a:prstGeom>
                        </pic:spPr>
                      </pic:pic>
                    </a:graphicData>
                  </a:graphic>
                </wp:inline>
              </w:drawing>
            </w:r>
          </w:p>
        </w:tc>
      </w:tr>
      <w:tr w:rsidR="00587784" w:rsidRPr="00B67805" w14:paraId="22D43FD3" w14:textId="77777777" w:rsidTr="00CE31CE">
        <w:tc>
          <w:tcPr>
            <w:tcW w:w="8283" w:type="dxa"/>
          </w:tcPr>
          <w:p w14:paraId="444EEC83"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lang w:val="en-GB"/>
              </w:rPr>
              <w:t>Panel (B)</w:t>
            </w:r>
          </w:p>
        </w:tc>
      </w:tr>
      <w:tr w:rsidR="00587784" w:rsidRPr="00B67805" w14:paraId="1B409BFF" w14:textId="77777777" w:rsidTr="00CE31CE">
        <w:tc>
          <w:tcPr>
            <w:tcW w:w="8283" w:type="dxa"/>
          </w:tcPr>
          <w:p w14:paraId="43A13A26" w14:textId="77777777" w:rsidR="00587784" w:rsidRPr="00B67805" w:rsidRDefault="00587784" w:rsidP="00D6346F">
            <w:pPr>
              <w:keepNext/>
              <w:spacing w:line="240" w:lineRule="atLeast"/>
              <w:jc w:val="center"/>
              <w:rPr>
                <w:rFonts w:ascii="Palatino Linotype" w:eastAsia="Times New Roman" w:hAnsi="Palatino Linotype" w:cs="Simplified Arabic"/>
                <w:sz w:val="18"/>
                <w:szCs w:val="18"/>
                <w:lang w:val="en-GB"/>
              </w:rPr>
            </w:pPr>
            <w:r w:rsidRPr="00B67805">
              <w:rPr>
                <w:rFonts w:ascii="Palatino Linotype" w:eastAsia="Times New Roman" w:hAnsi="Palatino Linotype" w:cs="Simplified Arabic"/>
                <w:sz w:val="18"/>
                <w:szCs w:val="18"/>
                <w:rtl/>
                <w:lang w:val="en-GB"/>
              </w:rPr>
              <w:drawing>
                <wp:inline distT="0" distB="0" distL="0" distR="0" wp14:anchorId="4ECA20A4" wp14:editId="12FB79DE">
                  <wp:extent cx="3910881" cy="1952625"/>
                  <wp:effectExtent l="0" t="0" r="0" b="0"/>
                  <wp:docPr id="1032" name="Picture 1" descr="A graph with a line graph and number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pic:cNvPicPr/>
                        </pic:nvPicPr>
                        <pic:blipFill>
                          <a:blip r:embed="rId17" cstate="print"/>
                          <a:srcRect/>
                          <a:stretch/>
                        </pic:blipFill>
                        <pic:spPr>
                          <a:xfrm>
                            <a:off x="0" y="0"/>
                            <a:ext cx="3931681" cy="1963010"/>
                          </a:xfrm>
                          <a:prstGeom prst="rect">
                            <a:avLst/>
                          </a:prstGeom>
                        </pic:spPr>
                      </pic:pic>
                    </a:graphicData>
                  </a:graphic>
                </wp:inline>
              </w:drawing>
            </w:r>
          </w:p>
        </w:tc>
      </w:tr>
      <w:tr w:rsidR="00E15A27" w:rsidRPr="00B67805" w14:paraId="70323733" w14:textId="77777777" w:rsidTr="00CE31CE">
        <w:tc>
          <w:tcPr>
            <w:tcW w:w="8283" w:type="dxa"/>
          </w:tcPr>
          <w:p w14:paraId="00A90BB1" w14:textId="5BAE493F" w:rsidR="00E15A27" w:rsidRPr="00B67805" w:rsidRDefault="00E15A27" w:rsidP="00E15A27">
            <w:pPr>
              <w:keepNext/>
              <w:spacing w:line="240" w:lineRule="atLeast"/>
              <w:jc w:val="center"/>
              <w:rPr>
                <w:rFonts w:ascii="Palatino Linotype" w:eastAsia="Times New Roman" w:hAnsi="Palatino Linotype" w:cs="Simplified Arabic"/>
                <w:sz w:val="18"/>
                <w:szCs w:val="18"/>
                <w:rtl/>
                <w:lang w:val="en-GB"/>
              </w:rPr>
            </w:pPr>
            <w:r w:rsidRPr="00B67805">
              <w:rPr>
                <w:rFonts w:ascii="Palatino Linotype" w:eastAsia="Times New Roman" w:hAnsi="Palatino Linotype" w:cs="Simplified Arabic"/>
                <w:sz w:val="18"/>
                <w:szCs w:val="18"/>
                <w:lang w:val="en-GB" w:bidi="ar-EG"/>
              </w:rPr>
              <w:t>Figure (</w:t>
            </w:r>
            <w:r>
              <w:rPr>
                <w:rFonts w:ascii="Palatino Linotype" w:eastAsia="Times New Roman" w:hAnsi="Palatino Linotype" w:cs="Simplified Arabic"/>
                <w:sz w:val="18"/>
                <w:szCs w:val="18"/>
                <w:lang w:val="en-GB" w:bidi="ar-EG"/>
              </w:rPr>
              <w:t>6</w:t>
            </w:r>
            <w:r w:rsidRPr="00B67805">
              <w:rPr>
                <w:rFonts w:ascii="Palatino Linotype" w:eastAsia="Times New Roman" w:hAnsi="Palatino Linotype" w:cs="Simplified Arabic"/>
                <w:sz w:val="18"/>
                <w:szCs w:val="18"/>
                <w:lang w:val="en-GB" w:bidi="ar-EG"/>
              </w:rPr>
              <w:t>)</w:t>
            </w:r>
          </w:p>
        </w:tc>
      </w:tr>
    </w:tbl>
    <w:p w14:paraId="4D010AD4" w14:textId="77777777" w:rsidR="00587784" w:rsidRPr="00D6346F" w:rsidRDefault="00587784" w:rsidP="00D6346F">
      <w:pPr>
        <w:numPr>
          <w:ilvl w:val="0"/>
          <w:numId w:val="15"/>
        </w:numPr>
        <w:spacing w:after="60" w:line="240" w:lineRule="atLeast"/>
        <w:ind w:left="426"/>
        <w:rPr>
          <w:rFonts w:ascii="Palatino Linotype" w:hAnsi="Palatino Linotype" w:cs="Simplified Arabic"/>
          <w:sz w:val="22"/>
          <w:szCs w:val="22"/>
          <w:lang w:val="en-GB" w:bidi="ar-EG"/>
        </w:rPr>
      </w:pPr>
      <w:r w:rsidRPr="00D6346F">
        <w:rPr>
          <w:rFonts w:ascii="Palatino Linotype" w:hAnsi="Palatino Linotype" w:cs="Simplified Arabic"/>
          <w:b/>
          <w:bCs/>
          <w:sz w:val="22"/>
          <w:szCs w:val="22"/>
          <w:lang w:val="en-GB"/>
        </w:rPr>
        <w:t>Conclusion and policy implications:</w:t>
      </w:r>
    </w:p>
    <w:p w14:paraId="3C09535D" w14:textId="71A5CF50" w:rsidR="00587784" w:rsidRPr="00D6346F" w:rsidRDefault="00587784" w:rsidP="00D6346F">
      <w:pPr>
        <w:pStyle w:val="NormalWeb"/>
        <w:spacing w:after="60" w:line="240" w:lineRule="atLeast"/>
        <w:ind w:firstLine="510"/>
        <w:rPr>
          <w:rFonts w:ascii="Palatino Linotype" w:hAnsi="Palatino Linotype" w:cs="Simplified Arabic"/>
          <w:sz w:val="19"/>
          <w:szCs w:val="19"/>
        </w:rPr>
      </w:pPr>
      <w:r w:rsidRPr="00D6346F">
        <w:rPr>
          <w:rFonts w:ascii="Palatino Linotype" w:hAnsi="Palatino Linotype" w:cs="Simplified Arabic"/>
          <w:sz w:val="19"/>
          <w:szCs w:val="19"/>
        </w:rPr>
        <w:t xml:space="preserve">This paper aimed to examine the impact of digital transformation on unemployment in Egypt, with particular emphasis on the complementary role of human capital. It tested the hypothesis that digital transformation reduces unemployment and that its unemployment-reducing effect becomes stronger as the level of human capital increases. To test this hypothesis, the paper employed an </w:t>
      </w:r>
      <w:r w:rsidRPr="00D6346F">
        <w:rPr>
          <w:rFonts w:ascii="Palatino Linotype" w:hAnsi="Palatino Linotype" w:cs="Simplified Arabic"/>
          <w:sz w:val="19"/>
          <w:szCs w:val="19"/>
        </w:rPr>
        <w:lastRenderedPageBreak/>
        <w:t>Autoregressive Distributed Lag (ARDL) model to estimate the short- and long-run relationships among unemployment, fixed broadband subscriptions as a proxy for digital transformation, tertiary school enrolment, and gross fixed capital formation. A mean-centred education–broadband interaction term was incorporated to assess whether human capital moderates the effect of digital connectivity on unemployment, while a pulse dummy was included to account for the exceptional labour-market disturbance in 2011.</w:t>
      </w:r>
    </w:p>
    <w:p w14:paraId="4CCFE349" w14:textId="77777777" w:rsidR="00587784" w:rsidRPr="00D6346F" w:rsidRDefault="00587784" w:rsidP="00D6346F">
      <w:pPr>
        <w:pStyle w:val="NormalWeb"/>
        <w:spacing w:after="60" w:line="240" w:lineRule="atLeast"/>
        <w:ind w:firstLine="510"/>
        <w:rPr>
          <w:rFonts w:ascii="Palatino Linotype" w:hAnsi="Palatino Linotype" w:cs="Simplified Arabic"/>
          <w:sz w:val="19"/>
          <w:szCs w:val="19"/>
        </w:rPr>
      </w:pPr>
      <w:r w:rsidRPr="00D6346F">
        <w:rPr>
          <w:rFonts w:ascii="Palatino Linotype" w:hAnsi="Palatino Linotype" w:cs="Simplified Arabic"/>
          <w:sz w:val="19"/>
          <w:szCs w:val="19"/>
        </w:rPr>
        <w:t>The empirical results indicate that digital connectivity, human capital, and physical-capital accumulation are jointly relevant to unemployment dynamics in Egypt. Fixed broadband penetration has a negative and statistically significant long-run association with unemployment, consistent with Sarabdeen and Alofaysan (2023). Gross fixed capital formation also exhibits a negative and significant long-run relationship with unemployment, suggesting that productive investment can expand labour demand. Tertiary school enrolment has a positive conditional effect when broadband is at its sample mean, which may reflect the continuing mismatch between higher-education outcomes and labour-market requirements. This result should not be interpreted as evidence that education inherently increases unemployment, because its effect depends on the level of broadband connectivity.</w:t>
      </w:r>
    </w:p>
    <w:p w14:paraId="5E4F52D1" w14:textId="77777777" w:rsidR="00587784" w:rsidRPr="00D6346F" w:rsidRDefault="00587784" w:rsidP="00D6346F">
      <w:pPr>
        <w:pStyle w:val="NormalWeb"/>
        <w:spacing w:after="60" w:line="240" w:lineRule="atLeast"/>
        <w:ind w:firstLine="510"/>
        <w:rPr>
          <w:rFonts w:ascii="Palatino Linotype" w:hAnsi="Palatino Linotype" w:cs="Simplified Arabic"/>
          <w:sz w:val="18"/>
          <w:szCs w:val="18"/>
        </w:rPr>
      </w:pPr>
      <w:r w:rsidRPr="00D6346F">
        <w:rPr>
          <w:rFonts w:ascii="Palatino Linotype" w:hAnsi="Palatino Linotype" w:cs="Simplified Arabic"/>
          <w:sz w:val="18"/>
          <w:szCs w:val="18"/>
        </w:rPr>
        <w:t>Most importantly, the education–broadband interaction is negative and statistically significant in both the short- and long-run. This indicates that the association between digital connectivity and reduced unemployment becomes stronger as tertiary enrolment increases, supporting the skill-complementarity perspective established by Akerman et al. (2015) and the broader technology–skill framework of Autor et al. (2003). The finding therefore supports the study's hypothesis. It extends the existing literature by explicitly demonstrating that, in Egypt, the labour-market benefits of digital connectivity depend partly on the human-capital environment in which digital technologies are adopted. The error-correction coefficient indicates relatively rapid adjustment towards long-run equilibrium, while the significant 2011 dummy confirms the importance of accounting for major economic and institutional disturbances affecting Egypt's labour market.</w:t>
      </w:r>
    </w:p>
    <w:p w14:paraId="2428F9F6" w14:textId="77777777" w:rsidR="00587784" w:rsidRDefault="00587784" w:rsidP="00D6346F">
      <w:pPr>
        <w:pStyle w:val="NormalWeb"/>
        <w:spacing w:after="60" w:line="240" w:lineRule="atLeast"/>
        <w:ind w:firstLine="510"/>
        <w:rPr>
          <w:rFonts w:ascii="Palatino Linotype" w:hAnsi="Palatino Linotype" w:cs="Simplified Arabic"/>
          <w:sz w:val="19"/>
          <w:szCs w:val="19"/>
        </w:rPr>
      </w:pPr>
      <w:r w:rsidRPr="00D6346F">
        <w:rPr>
          <w:rFonts w:ascii="Palatino Linotype" w:hAnsi="Palatino Linotype" w:cs="Simplified Arabic"/>
          <w:sz w:val="19"/>
          <w:szCs w:val="19"/>
        </w:rPr>
        <w:t>Based on these findings, four policy directions are recommended. First, Egypt should continue expanding affordable and reliable fixed broadband infrastructure to improve digital connectivity and access to employment opportunities. Second, digital-transformation policies should be accompanied by investment in the quality and labour-market relevance of tertiary education, given the significant complementarity between education and broadband. Third, greater emphasis should be placed on digital-skills development, upskilling, and reskilling programmes to help workers adapt to changing labour-market requirements. Finally, policies should encourage productive investment and gross fixed capital formation, both of which are associated with lower unemployment. Overall, digital infrastructure alone is insufficient to maximise the employment benefits of digital transformation; an integrated policy approach combining digital connectivity, relevant human-capital development, and productive investment is required.</w:t>
      </w:r>
    </w:p>
    <w:p w14:paraId="237E6042" w14:textId="77777777" w:rsidR="00CE31CE" w:rsidRPr="00D6346F" w:rsidRDefault="00CE31CE" w:rsidP="00D6346F">
      <w:pPr>
        <w:pStyle w:val="NormalWeb"/>
        <w:spacing w:after="60" w:line="240" w:lineRule="atLeast"/>
        <w:ind w:firstLine="510"/>
        <w:rPr>
          <w:rFonts w:ascii="Palatino Linotype" w:hAnsi="Palatino Linotype" w:cs="Simplified Arabic"/>
          <w:sz w:val="19"/>
          <w:szCs w:val="19"/>
        </w:rPr>
      </w:pPr>
    </w:p>
    <w:p w14:paraId="481261A4" w14:textId="77777777" w:rsidR="00587784" w:rsidRPr="00B67805" w:rsidRDefault="00587784" w:rsidP="00D6346F">
      <w:pPr>
        <w:spacing w:after="60" w:line="240" w:lineRule="atLeast"/>
        <w:rPr>
          <w:rStyle w:val="Strong"/>
          <w:rFonts w:ascii="Palatino Linotype" w:hAnsi="Palatino Linotype" w:cs="Simplified Arabic"/>
          <w:lang w:val="en-GB"/>
        </w:rPr>
      </w:pPr>
      <w:r w:rsidRPr="00B67805">
        <w:rPr>
          <w:rStyle w:val="Strong"/>
          <w:rFonts w:ascii="Palatino Linotype" w:hAnsi="Palatino Linotype" w:cs="Simplified Arabic"/>
          <w:lang w:val="en-GB"/>
        </w:rPr>
        <w:lastRenderedPageBreak/>
        <w:t>References</w:t>
      </w:r>
    </w:p>
    <w:p w14:paraId="0438B3CA"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Acemoglu, D. (2002). Technical change, inequality, and the labor market. Journal of Economic Literature, 40(1), 7–72. </w:t>
      </w:r>
      <w:hyperlink r:id="rId18" w:history="1">
        <w:r w:rsidRPr="00D6346F">
          <w:rPr>
            <w:rStyle w:val="Hyperlink"/>
            <w:rFonts w:ascii="Palatino Linotype" w:hAnsi="Palatino Linotype" w:cs="Simplified Arabic"/>
            <w:color w:val="auto"/>
            <w:lang w:val="en-GB"/>
          </w:rPr>
          <w:t>https://doi.org/10.1257/0022051026976</w:t>
        </w:r>
      </w:hyperlink>
    </w:p>
    <w:p w14:paraId="0E55EC61"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Akerman, A., Gaarder, I., &amp; Mogstad, M. (2015). The skill complementarity of broadband internet. The Quarterly Journal of Economics, 130(4), 1781–1824. </w:t>
      </w:r>
      <w:hyperlink r:id="rId19" w:history="1">
        <w:r w:rsidRPr="00D6346F">
          <w:rPr>
            <w:rStyle w:val="Hyperlink"/>
            <w:rFonts w:ascii="Palatino Linotype" w:hAnsi="Palatino Linotype" w:cs="Simplified Arabic"/>
            <w:color w:val="auto"/>
            <w:lang w:val="en-GB"/>
          </w:rPr>
          <w:t>https://doi.org/10.1093/qje/qjv028</w:t>
        </w:r>
      </w:hyperlink>
    </w:p>
    <w:p w14:paraId="115A0E3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Almula-Dhanoon, M., Dhannoon, M. A.-M., Al-Salman, M. M., &amp; Hammadi, M. F. (2020). Do FDI and domestic investment affect unemployment in MENA countries? Dynamic panel data analysis. Journal of Contemporary Iraq &amp; the Arab World, 14(3), 223–236.</w:t>
      </w:r>
    </w:p>
    <w:p w14:paraId="46E0510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Aly, H. (2020). Digital transformation, development and productivity in developing countries: Is artificial intelligence a curse or a blessing? Review of Economics and Political Science, 7(4), 238–256.</w:t>
      </w:r>
    </w:p>
    <w:p w14:paraId="2691A62E" w14:textId="77777777" w:rsidR="00587784" w:rsidRPr="00D6346F" w:rsidRDefault="00587784" w:rsidP="00D6346F">
      <w:pPr>
        <w:numPr>
          <w:ilvl w:val="0"/>
          <w:numId w:val="16"/>
        </w:numPr>
        <w:spacing w:after="60" w:line="240" w:lineRule="atLeast"/>
        <w:ind w:left="450"/>
        <w:rPr>
          <w:rStyle w:val="Hyperlink"/>
          <w:rFonts w:ascii="Palatino Linotype" w:hAnsi="Palatino Linotype" w:cs="Simplified Arabic"/>
          <w:color w:val="auto"/>
          <w:lang w:val="en-GB"/>
        </w:rPr>
      </w:pPr>
      <w:r w:rsidRPr="00D6346F">
        <w:rPr>
          <w:rStyle w:val="Strong"/>
          <w:rFonts w:ascii="Palatino Linotype" w:hAnsi="Palatino Linotype" w:cs="Simplified Arabic"/>
          <w:b w:val="0"/>
          <w:bCs w:val="0"/>
          <w:lang w:val="en-GB"/>
        </w:rPr>
        <w:t xml:space="preserve">Aly, H., &amp; Aubert-Tarby, S. (2023). Does COVID-19 pandemic spur digital business transformation? Evidence from selected MENA countries. International Journal of Social Economics, 50(6), 837–853. </w:t>
      </w:r>
      <w:hyperlink r:id="rId20" w:history="1">
        <w:r w:rsidRPr="00D6346F">
          <w:rPr>
            <w:rStyle w:val="Hyperlink"/>
            <w:rFonts w:ascii="Palatino Linotype" w:hAnsi="Palatino Linotype" w:cs="Simplified Arabic"/>
            <w:color w:val="auto"/>
            <w:lang w:val="en-GB"/>
          </w:rPr>
          <w:t>https://doi.org/10.1108/IJSE-01-2023-0029</w:t>
        </w:r>
      </w:hyperlink>
      <w:r w:rsidRPr="00D6346F">
        <w:rPr>
          <w:rStyle w:val="Hyperlink"/>
          <w:rFonts w:ascii="Palatino Linotype" w:hAnsi="Palatino Linotype" w:cs="Simplified Arabic"/>
          <w:color w:val="auto"/>
          <w:lang w:val="en-GB"/>
        </w:rPr>
        <w:t>.</w:t>
      </w:r>
    </w:p>
    <w:p w14:paraId="3CA0F95E"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Amankwah-Amoah, J., Khan, Z., Wood, G., &amp; Knight, G. (2021). COVID-19 and digitalization: The great acceleration. Journal of Business Research, 136, 602–611. </w:t>
      </w:r>
      <w:hyperlink r:id="rId21" w:history="1">
        <w:r w:rsidRPr="00D6346F">
          <w:rPr>
            <w:rStyle w:val="Hyperlink"/>
            <w:rFonts w:ascii="Palatino Linotype" w:hAnsi="Palatino Linotype" w:cs="Simplified Arabic"/>
            <w:color w:val="auto"/>
            <w:lang w:val="en-GB"/>
          </w:rPr>
          <w:t>https://doi.org/10.1016/j.jbusres.2021.08.011</w:t>
        </w:r>
      </w:hyperlink>
    </w:p>
    <w:p w14:paraId="068B7001"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An, I. Y. (2021). The impact of digitalisation in the economy on labor market outcomes in middle-income countries [Doctoral dissertation, University of Pittsburgh].</w:t>
      </w:r>
    </w:p>
    <w:p w14:paraId="2E549C93"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Assaad, R., Krafft, C., &amp; Salehi-Isfahani, D. (2018). Does the type of higher education affect labor market outcomes? Evidence from Egypt and Jordan. Higher Education, 75(6), 945–995. </w:t>
      </w:r>
      <w:hyperlink r:id="rId22" w:history="1">
        <w:r w:rsidRPr="00D6346F">
          <w:rPr>
            <w:rStyle w:val="Hyperlink"/>
            <w:rFonts w:ascii="Palatino Linotype" w:hAnsi="Palatino Linotype" w:cs="Simplified Arabic"/>
            <w:color w:val="auto"/>
            <w:lang w:val="en-GB"/>
          </w:rPr>
          <w:t>https://doi.org/10.1007/s10734-017-0179-0</w:t>
        </w:r>
      </w:hyperlink>
    </w:p>
    <w:p w14:paraId="7F076E71" w14:textId="77777777" w:rsidR="00587784" w:rsidRPr="00D6346F" w:rsidRDefault="00587784" w:rsidP="00D6346F">
      <w:pPr>
        <w:numPr>
          <w:ilvl w:val="0"/>
          <w:numId w:val="16"/>
        </w:numPr>
        <w:spacing w:after="60" w:line="240" w:lineRule="atLeast"/>
        <w:ind w:left="450"/>
        <w:rPr>
          <w:rStyle w:val="Hyperlink"/>
          <w:rFonts w:ascii="Palatino Linotype" w:hAnsi="Palatino Linotype" w:cs="Simplified Arabic"/>
          <w:color w:val="auto"/>
          <w:lang w:val="en-GB"/>
        </w:rPr>
      </w:pPr>
      <w:r w:rsidRPr="00D6346F">
        <w:rPr>
          <w:rStyle w:val="Strong"/>
          <w:rFonts w:ascii="Palatino Linotype" w:hAnsi="Palatino Linotype" w:cs="Simplified Arabic"/>
          <w:b w:val="0"/>
          <w:bCs w:val="0"/>
          <w:lang w:val="en-GB"/>
        </w:rPr>
        <w:t xml:space="preserve">Autor, D. H., Levy, F., &amp; Murnane, R. J. (2003). The skill content of recent technological change: An empirical exploration. The Quarterly Journal of Economics, 118(4), 1279–1333. </w:t>
      </w:r>
      <w:hyperlink r:id="rId23" w:history="1">
        <w:r w:rsidRPr="00D6346F">
          <w:rPr>
            <w:rStyle w:val="Hyperlink"/>
            <w:rFonts w:ascii="Palatino Linotype" w:hAnsi="Palatino Linotype" w:cs="Simplified Arabic"/>
            <w:color w:val="auto"/>
            <w:lang w:val="en-GB"/>
          </w:rPr>
          <w:t>https://doi.org/10.1162/003355303322552801</w:t>
        </w:r>
      </w:hyperlink>
      <w:r w:rsidRPr="00D6346F">
        <w:rPr>
          <w:rStyle w:val="Hyperlink"/>
          <w:rFonts w:ascii="Palatino Linotype" w:hAnsi="Palatino Linotype" w:cs="Simplified Arabic"/>
          <w:color w:val="auto"/>
          <w:lang w:val="en-GB"/>
        </w:rPr>
        <w:t>.</w:t>
      </w:r>
    </w:p>
    <w:p w14:paraId="5B24EA5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Barro, R. J., &amp; Sala-i-Martin, X. (2004). Economic growth (2nd ed.). MIT Press.</w:t>
      </w:r>
    </w:p>
    <w:p w14:paraId="323F3791"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Bayar, Y. (2016). Financial development and unemployment in emerging market economies. Scientific Annals of Economics and Business, 63(2), 237–245.</w:t>
      </w:r>
    </w:p>
    <w:p w14:paraId="3E438A58"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Becker, G. S. (1964). Human capital: A theoretical and empirical analysis, with special reference to education. Columbia University Press.</w:t>
      </w:r>
    </w:p>
    <w:p w14:paraId="401F358C"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Bertani, F., Raberto, M., &amp; Teglio, A. (2020). The productivity and unemployment effects of the digital transformation: An empirical and modelling assessment. Review of Evolutionary Political Economy, 1(3), 329–355. </w:t>
      </w:r>
      <w:hyperlink r:id="rId24" w:history="1">
        <w:r w:rsidRPr="00D6346F">
          <w:rPr>
            <w:rStyle w:val="Hyperlink"/>
            <w:rFonts w:ascii="Palatino Linotype" w:hAnsi="Palatino Linotype" w:cs="Simplified Arabic"/>
            <w:color w:val="auto"/>
            <w:lang w:val="en-GB"/>
          </w:rPr>
          <w:t>https://doi.org/10.1007/s43253-020-00022-3</w:t>
        </w:r>
      </w:hyperlink>
    </w:p>
    <w:p w14:paraId="08562510" w14:textId="77777777" w:rsidR="00587784" w:rsidRPr="00D6346F" w:rsidRDefault="00587784" w:rsidP="00D6346F">
      <w:pPr>
        <w:numPr>
          <w:ilvl w:val="0"/>
          <w:numId w:val="16"/>
        </w:numPr>
        <w:spacing w:after="60" w:line="240" w:lineRule="atLeast"/>
        <w:ind w:left="450"/>
        <w:rPr>
          <w:rStyle w:val="Hyperlink"/>
          <w:rFonts w:ascii="Palatino Linotype" w:hAnsi="Palatino Linotype" w:cs="Simplified Arabic"/>
          <w:color w:val="auto"/>
          <w:lang w:val="en-GB"/>
        </w:rPr>
      </w:pPr>
      <w:r w:rsidRPr="00D6346F">
        <w:rPr>
          <w:rStyle w:val="Strong"/>
          <w:rFonts w:ascii="Palatino Linotype" w:hAnsi="Palatino Linotype" w:cs="Simplified Arabic"/>
          <w:b w:val="0"/>
          <w:bCs w:val="0"/>
          <w:lang w:val="en-GB"/>
        </w:rPr>
        <w:t xml:space="preserve">Breusch, T. S., &amp; Pagan, A. R. (1979). A simple test for heteroscedasticity and random coefficient variation. Econometrica, 47(5), 1287–1294. </w:t>
      </w:r>
      <w:hyperlink r:id="rId25" w:history="1">
        <w:r w:rsidRPr="00D6346F">
          <w:rPr>
            <w:rStyle w:val="Hyperlink"/>
            <w:rFonts w:ascii="Palatino Linotype" w:hAnsi="Palatino Linotype" w:cs="Simplified Arabic"/>
            <w:color w:val="auto"/>
            <w:lang w:val="en-GB"/>
          </w:rPr>
          <w:t>https://doi.org/10.2307/1911963</w:t>
        </w:r>
      </w:hyperlink>
      <w:r w:rsidRPr="00D6346F">
        <w:rPr>
          <w:rStyle w:val="Hyperlink"/>
          <w:rFonts w:ascii="Palatino Linotype" w:hAnsi="Palatino Linotype" w:cs="Simplified Arabic"/>
          <w:color w:val="auto"/>
          <w:lang w:val="en-GB"/>
        </w:rPr>
        <w:t>.</w:t>
      </w:r>
    </w:p>
    <w:p w14:paraId="6BD88B2F"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lastRenderedPageBreak/>
        <w:t xml:space="preserve">Botelho, T. L., Fehder, D. C., &amp; Hochberg, Y. V. (2021). Innovation-driven entrepreneurship (NBER Working Paper No. 28990). National Bureau of Economic Research. </w:t>
      </w:r>
      <w:hyperlink r:id="rId26" w:history="1">
        <w:r w:rsidRPr="00D6346F">
          <w:rPr>
            <w:rStyle w:val="Hyperlink"/>
            <w:rFonts w:ascii="Palatino Linotype" w:hAnsi="Palatino Linotype" w:cs="Simplified Arabic"/>
            <w:color w:val="auto"/>
            <w:lang w:val="en-GB"/>
          </w:rPr>
          <w:t>https://doi.org/10.3386/w28990</w:t>
        </w:r>
      </w:hyperlink>
    </w:p>
    <w:p w14:paraId="6D608900"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Brown, R. L., Durbin, J., &amp; Evans, J. M. (1975). Techniques for testing the constancy of regression relationships over time. Journal of the Royal Statistical Society: Series B (Methodological), 37(2), 149–163.</w:t>
      </w:r>
    </w:p>
    <w:p w14:paraId="2B74B9D1" w14:textId="77777777" w:rsidR="00587784" w:rsidRPr="00D6346F" w:rsidRDefault="00587784" w:rsidP="00D6346F">
      <w:pPr>
        <w:numPr>
          <w:ilvl w:val="0"/>
          <w:numId w:val="16"/>
        </w:numPr>
        <w:spacing w:after="60" w:line="240" w:lineRule="atLeast"/>
        <w:ind w:left="450"/>
        <w:rPr>
          <w:rFonts w:ascii="Palatino Linotype" w:hAnsi="Palatino Linotype" w:cs="Simplified Arabic"/>
          <w:lang w:val="en-GB"/>
        </w:rPr>
      </w:pPr>
      <w:r w:rsidRPr="00D6346F">
        <w:rPr>
          <w:rFonts w:ascii="Palatino Linotype" w:hAnsi="Palatino Linotype" w:cs="Simplified Arabic"/>
        </w:rPr>
        <w:t xml:space="preserve">Can, M., &amp; Doğan, B. (2020). The effects of economic structural transformation on employment: An evaluation in the context of economic complexity and product space theory. In </w:t>
      </w:r>
      <w:r w:rsidRPr="00D6346F">
        <w:rPr>
          <w:rStyle w:val="Emphasis"/>
          <w:rFonts w:ascii="Palatino Linotype" w:hAnsi="Palatino Linotype" w:cs="Simplified Arabic"/>
        </w:rPr>
        <w:t>Foreign direct investments: Concepts, methodologies, tools, and applications</w:t>
      </w:r>
      <w:r w:rsidRPr="00D6346F">
        <w:rPr>
          <w:rFonts w:ascii="Palatino Linotype" w:hAnsi="Palatino Linotype" w:cs="Simplified Arabic"/>
        </w:rPr>
        <w:t xml:space="preserve"> (pp. 1338–1368). IGI Global. </w:t>
      </w:r>
      <w:hyperlink r:id="rId27" w:history="1">
        <w:r w:rsidRPr="00D6346F">
          <w:rPr>
            <w:rStyle w:val="Hyperlink"/>
            <w:rFonts w:ascii="Palatino Linotype" w:hAnsi="Palatino Linotype" w:cs="Simplified Arabic"/>
            <w:color w:val="auto"/>
          </w:rPr>
          <w:t>https://doi.org/10.4018/978-1-7998-2448-0.ch059</w:t>
        </w:r>
      </w:hyperlink>
      <w:r w:rsidRPr="00D6346F">
        <w:rPr>
          <w:rFonts w:ascii="Palatino Linotype" w:hAnsi="Palatino Linotype" w:cs="Simplified Arabic"/>
        </w:rPr>
        <w:t xml:space="preserve"> </w:t>
      </w:r>
    </w:p>
    <w:p w14:paraId="3809414C"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Card, D., &amp; DiNardo, J. E. (2002). Skill-biased technological change and rising wage inequality: Some problems and puzzles. Journal of Labor Economics, 20(4), 733–783. </w:t>
      </w:r>
      <w:hyperlink r:id="rId28" w:history="1">
        <w:r w:rsidRPr="00D6346F">
          <w:rPr>
            <w:rStyle w:val="Hyperlink"/>
            <w:rFonts w:ascii="Palatino Linotype" w:hAnsi="Palatino Linotype" w:cs="Simplified Arabic"/>
            <w:color w:val="auto"/>
            <w:lang w:val="en-GB"/>
          </w:rPr>
          <w:t>https://doi.org/10.1086/342055</w:t>
        </w:r>
      </w:hyperlink>
      <w:r w:rsidRPr="00D6346F">
        <w:rPr>
          <w:rStyle w:val="Strong"/>
          <w:rFonts w:ascii="Palatino Linotype" w:hAnsi="Palatino Linotype" w:cs="Simplified Arabic"/>
          <w:b w:val="0"/>
          <w:bCs w:val="0"/>
          <w:lang w:val="en-GB"/>
        </w:rPr>
        <w:t>.</w:t>
      </w:r>
    </w:p>
    <w:p w14:paraId="561AC731"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Castells, M. (2009). Communication power. Oxford University Press.</w:t>
      </w:r>
    </w:p>
    <w:p w14:paraId="5C5880AF"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Chinoracký, R., &amp; Čorejová, T. (2019). Impact of digital technologies on labor market and the transport sector. Transportation Research Procedia, 40, 994–1001.</w:t>
      </w:r>
    </w:p>
    <w:p w14:paraId="4A4DAA44"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Dachs, B. (2018). The impact of new technologies on the labour market and the social economy. European Parliamentary Research Service.</w:t>
      </w:r>
    </w:p>
    <w:p w14:paraId="2089D3BD"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Davis, D. R., Mengus, E., &amp; Michalski, T. K. (2020). Labor market polarization and the great urban divergence (NBER Working Paper No. 26955). National Bureau of Economic Research. </w:t>
      </w:r>
      <w:hyperlink r:id="rId29" w:history="1">
        <w:r w:rsidRPr="00D6346F">
          <w:rPr>
            <w:rStyle w:val="Hyperlink"/>
            <w:rFonts w:ascii="Palatino Linotype" w:hAnsi="Palatino Linotype" w:cs="Simplified Arabic"/>
            <w:color w:val="auto"/>
            <w:lang w:val="en-GB"/>
          </w:rPr>
          <w:t>https://doi.org/10.3386/w26955</w:t>
        </w:r>
      </w:hyperlink>
    </w:p>
    <w:p w14:paraId="628CB5C0"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Dickey, D. A., &amp; Fuller, W. A. (1979). Distribution of the estimators for autoregressive time series with a unit root. Journal of the American Statistical Association, 74(366), 427–431.</w:t>
      </w:r>
    </w:p>
    <w:p w14:paraId="4B257A84"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Dickey, D. A., &amp; Fuller, W. A. (1981). Likelihood ratio statistics for autoregressive time series with a unit root. Econometrica, 49(4), 1057–1072.</w:t>
      </w:r>
    </w:p>
    <w:p w14:paraId="77D9E5C7"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Duasa, J., &amp; Ramadan, A. E. (2019). Digital development and economic growth in selected ASEAN countries: Applying response surfaces for critical bounds of cointegration test. JATI–Journal of Southeast Asian Studies, 24(2), 1–18.</w:t>
      </w:r>
    </w:p>
    <w:p w14:paraId="7D50FC9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Elgohary, E. (2022). The role of digital transformation in sustainable development in Egypt. The International Journal of Informatics, Media and Communication Technology, 4(1), 71–106. </w:t>
      </w:r>
      <w:hyperlink r:id="rId30" w:history="1">
        <w:r w:rsidRPr="00D6346F">
          <w:rPr>
            <w:rStyle w:val="Hyperlink"/>
            <w:rFonts w:ascii="Palatino Linotype" w:hAnsi="Palatino Linotype" w:cs="Simplified Arabic"/>
            <w:color w:val="auto"/>
            <w:lang w:val="en-GB"/>
          </w:rPr>
          <w:t>https://doi.org/10.21608/ijimct.2022.219953</w:t>
        </w:r>
      </w:hyperlink>
    </w:p>
    <w:p w14:paraId="26F77CC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Elgohary, E. M., &amp; Abdel-Aziz, R. O. (2023). The effect of digital transformation on employment in Egypt: An applied study using ARDL model. The Electronic Journal of Information Systems in Developing Countries, 89(1), e12240. </w:t>
      </w:r>
      <w:hyperlink r:id="rId31" w:history="1">
        <w:r w:rsidRPr="00D6346F">
          <w:rPr>
            <w:rStyle w:val="Hyperlink"/>
            <w:rFonts w:ascii="Palatino Linotype" w:hAnsi="Palatino Linotype" w:cs="Simplified Arabic"/>
            <w:color w:val="auto"/>
            <w:lang w:val="en-GB"/>
          </w:rPr>
          <w:t>https://doi.org/10.1002/isd2.12240</w:t>
        </w:r>
      </w:hyperlink>
    </w:p>
    <w:p w14:paraId="7F7AE097" w14:textId="77777777" w:rsidR="00587784" w:rsidRPr="00D6346F" w:rsidRDefault="00587784" w:rsidP="00D6346F">
      <w:pPr>
        <w:numPr>
          <w:ilvl w:val="0"/>
          <w:numId w:val="16"/>
        </w:numPr>
        <w:spacing w:after="60" w:line="240" w:lineRule="atLeast"/>
        <w:ind w:left="450"/>
        <w:rPr>
          <w:rStyle w:val="Hyperlink"/>
          <w:rFonts w:ascii="Palatino Linotype" w:hAnsi="Palatino Linotype" w:cs="Simplified Arabic"/>
          <w:color w:val="auto"/>
          <w:lang w:val="en-GB"/>
        </w:rPr>
      </w:pPr>
      <w:r w:rsidRPr="00D6346F">
        <w:rPr>
          <w:rStyle w:val="Strong"/>
          <w:rFonts w:ascii="Palatino Linotype" w:hAnsi="Palatino Linotype" w:cs="Simplified Arabic"/>
          <w:b w:val="0"/>
          <w:bCs w:val="0"/>
          <w:lang w:val="en-GB"/>
        </w:rPr>
        <w:lastRenderedPageBreak/>
        <w:t xml:space="preserve">Elsafty, A., &amp; Elzeftawy, A. (2021). The new era of digital transformation and COVID-19 effect on the employment in mobile operators in Egypt. Business and Management Studies, 7(1), 74–99. </w:t>
      </w:r>
      <w:hyperlink r:id="rId32" w:history="1">
        <w:r w:rsidRPr="00D6346F">
          <w:rPr>
            <w:rStyle w:val="Hyperlink"/>
            <w:rFonts w:ascii="Palatino Linotype" w:hAnsi="Palatino Linotype" w:cs="Simplified Arabic"/>
            <w:color w:val="auto"/>
            <w:lang w:val="en-GB"/>
          </w:rPr>
          <w:t>https://doi.org/10.11114/bms.v7i1.5145</w:t>
        </w:r>
      </w:hyperlink>
      <w:r w:rsidRPr="00D6346F">
        <w:rPr>
          <w:rStyle w:val="Hyperlink"/>
          <w:rFonts w:ascii="Palatino Linotype" w:hAnsi="Palatino Linotype" w:cs="Simplified Arabic"/>
          <w:color w:val="auto"/>
          <w:lang w:val="en-GB"/>
        </w:rPr>
        <w:t>.</w:t>
      </w:r>
    </w:p>
    <w:p w14:paraId="2806FC30"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Fonseca, T., Lima, F., &amp; Pereira, S. C. (2018). Job polarization, technological change and routinization: Evidence for Portugal. Labour Economics, 51, 317–339. </w:t>
      </w:r>
      <w:hyperlink r:id="rId33" w:history="1">
        <w:r w:rsidRPr="00D6346F">
          <w:rPr>
            <w:rStyle w:val="Hyperlink"/>
            <w:rFonts w:ascii="Palatino Linotype" w:hAnsi="Palatino Linotype" w:cs="Simplified Arabic"/>
            <w:color w:val="auto"/>
            <w:lang w:val="en-GB"/>
          </w:rPr>
          <w:t>https://doi.org/10.1016/j.labeco.2018.02.003</w:t>
        </w:r>
      </w:hyperlink>
    </w:p>
    <w:p w14:paraId="2F0596AE"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Godfrey, L. G. (1978). Testing against general autoregressive and moving average error models when the regressors include lagged dependent variables. Econometrica, 46(6), 1293–1301.</w:t>
      </w:r>
    </w:p>
    <w:p w14:paraId="04725181"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Haslberger, M. (2021). Technological change and labour market institutions and their effect on employment, wages, and inequality [Doctoral dissertation, University of Oxford]. Oxford University Research Archive. </w:t>
      </w:r>
      <w:hyperlink r:id="rId34" w:history="1">
        <w:r w:rsidRPr="00D6346F">
          <w:rPr>
            <w:rStyle w:val="Hyperlink"/>
            <w:rFonts w:ascii="Palatino Linotype" w:hAnsi="Palatino Linotype" w:cs="Simplified Arabic"/>
            <w:color w:val="auto"/>
            <w:lang w:val="en-GB"/>
          </w:rPr>
          <w:t>https://doi.org/10.5287/ora-xvn5jvp0x</w:t>
        </w:r>
      </w:hyperlink>
    </w:p>
    <w:p w14:paraId="30AD6F7F"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Iacobucci, D., Schneider, M. J., Popovich, D. L., &amp; Bakamitsos, G. A. (2016). Mean centering helps alleviate "micro" but not "macro" multicollinearity. Behavior Research Methods, 48(4), 1308–1317.</w:t>
      </w:r>
    </w:p>
    <w:p w14:paraId="089B265E"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International Labour Organization. (2023). Digitalisation and employment: A review. ILO.</w:t>
      </w:r>
    </w:p>
    <w:p w14:paraId="431BA5B6"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Fonts w:ascii="Palatino Linotype" w:hAnsi="Palatino Linotype" w:cs="Simplified Arabic"/>
        </w:rPr>
        <w:t>International Trade Administration. (2022)</w:t>
      </w:r>
      <w:bookmarkStart w:id="3" w:name="_Hlk158039927"/>
      <w:r w:rsidRPr="00D6346F">
        <w:rPr>
          <w:rFonts w:ascii="Palatino Linotype" w:hAnsi="Palatino Linotype" w:cs="Simplified Arabic"/>
        </w:rPr>
        <w:t>,</w:t>
      </w:r>
      <w:bookmarkEnd w:id="3"/>
      <w:r w:rsidRPr="00D6346F">
        <w:rPr>
          <w:rFonts w:ascii="Palatino Linotype" w:hAnsi="Palatino Linotype" w:cs="Simplified Arabic"/>
        </w:rPr>
        <w:t xml:space="preserve"> Information and Communications Technology; and Digital Economy, 8 August. </w:t>
      </w:r>
      <w:hyperlink r:id="rId35" w:history="1">
        <w:r w:rsidRPr="00D6346F">
          <w:rPr>
            <w:rStyle w:val="Hyperlink"/>
            <w:rFonts w:ascii="Palatino Linotype" w:hAnsi="Palatino Linotype" w:cs="Simplified Arabic"/>
            <w:color w:val="auto"/>
          </w:rPr>
          <w:t>Egypt - Information and Communications Technology; and Digital Economy (trade.gov)</w:t>
        </w:r>
      </w:hyperlink>
    </w:p>
    <w:p w14:paraId="16B10E7D"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Fonts w:ascii="Palatino Linotype" w:hAnsi="Palatino Linotype" w:cs="Simplified Arabic"/>
          <w:sz w:val="18"/>
          <w:szCs w:val="18"/>
        </w:rPr>
        <w:t>Jaumotte</w:t>
      </w:r>
      <w:r w:rsidRPr="00D6346F">
        <w:rPr>
          <w:rStyle w:val="Strong"/>
          <w:rFonts w:ascii="Palatino Linotype" w:hAnsi="Palatino Linotype" w:cs="Simplified Arabic"/>
          <w:b w:val="0"/>
          <w:bCs w:val="0"/>
          <w:lang w:val="en-GB"/>
        </w:rPr>
        <w:t xml:space="preserve">, F., Li, L., Medici, A., Oikonomou, M., Pizzinelli, C., Shibata, I., Soh, J., &amp; Mendes Tavares, M. (2023). Digitalisation during the COVID-19 crisis: Implications for productivity and labor markets in advanced economies (Staff Discussion Note No. 2023/003). International Monetary Fund. </w:t>
      </w:r>
      <w:hyperlink r:id="rId36" w:history="1">
        <w:r w:rsidRPr="00D6346F">
          <w:rPr>
            <w:rStyle w:val="Hyperlink"/>
            <w:rFonts w:ascii="Palatino Linotype" w:hAnsi="Palatino Linotype" w:cs="Simplified Arabic"/>
            <w:color w:val="auto"/>
            <w:lang w:val="en-GB"/>
          </w:rPr>
          <w:t>https://doi.org/10.5089/9798400232596.006</w:t>
        </w:r>
      </w:hyperlink>
    </w:p>
    <w:p w14:paraId="21857CF2"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Kamel, S. (2021, September). The potential impact of digital transformation on Egypt. Economic Research Forum.</w:t>
      </w:r>
    </w:p>
    <w:p w14:paraId="191717D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Fonts w:ascii="Palatino Linotype" w:hAnsi="Palatino Linotype" w:cs="Simplified Arabic"/>
        </w:rPr>
        <w:t xml:space="preserve">Ministry of Planning, Monitoring and Administrative Reform. (2016). </w:t>
      </w:r>
      <w:r w:rsidRPr="00D6346F">
        <w:rPr>
          <w:rStyle w:val="Emphasis"/>
          <w:rFonts w:ascii="Palatino Linotype" w:hAnsi="Palatino Linotype" w:cs="Simplified Arabic"/>
        </w:rPr>
        <w:t>Sustainable development strategy: Egypt Vision 2030</w:t>
      </w:r>
      <w:r w:rsidRPr="00D6346F">
        <w:rPr>
          <w:rFonts w:ascii="Palatino Linotype" w:hAnsi="Palatino Linotype" w:cs="Simplified Arabic"/>
        </w:rPr>
        <w:t>. Government of Egypt.</w:t>
      </w:r>
    </w:p>
    <w:p w14:paraId="25FAA1B2"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eastAsia="ja-JP"/>
        </w:rPr>
      </w:pPr>
      <w:r w:rsidRPr="00D6346F">
        <w:rPr>
          <w:rStyle w:val="Strong"/>
          <w:rFonts w:ascii="Palatino Linotype" w:hAnsi="Palatino Linotype" w:cs="Simplified Arabic"/>
          <w:b w:val="0"/>
          <w:bCs w:val="0"/>
          <w:lang w:val="en-GB"/>
        </w:rPr>
        <w:t>Müller</w:t>
      </w:r>
      <w:r w:rsidRPr="00D6346F">
        <w:rPr>
          <w:rFonts w:ascii="Palatino Linotype" w:hAnsi="Palatino Linotype" w:cs="Simplified Arabic"/>
          <w:sz w:val="18"/>
          <w:szCs w:val="18"/>
        </w:rPr>
        <w:t xml:space="preserve">, C. (2024). The COVID-19 pandemic and firms’ e-learning use: Implications for inequality in training opportunities. </w:t>
      </w:r>
      <w:r w:rsidRPr="00D6346F">
        <w:rPr>
          <w:rStyle w:val="Emphasis"/>
          <w:rFonts w:ascii="Palatino Linotype" w:hAnsi="Palatino Linotype" w:cs="Simplified Arabic"/>
          <w:sz w:val="18"/>
          <w:szCs w:val="18"/>
        </w:rPr>
        <w:t>Journal for Labour Market Research, 58</w:t>
      </w:r>
      <w:r w:rsidRPr="00D6346F">
        <w:rPr>
          <w:rFonts w:ascii="Palatino Linotype" w:hAnsi="Palatino Linotype" w:cs="Simplified Arabic"/>
          <w:sz w:val="18"/>
          <w:szCs w:val="18"/>
        </w:rPr>
        <w:t>, Article 17, 1–15. https://doi.org/10.1186/s12651-024-00382-</w:t>
      </w:r>
    </w:p>
    <w:p w14:paraId="1B19F68B"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Nagel, L. (2020). The influence of the COVID-19 pandemic on the digital transformation of work. International Journal of Sociology and Social Policy, 40(9/10), 861–875. </w:t>
      </w:r>
      <w:hyperlink r:id="rId37" w:history="1">
        <w:r w:rsidRPr="00D6346F">
          <w:rPr>
            <w:rStyle w:val="Hyperlink"/>
            <w:rFonts w:ascii="Palatino Linotype" w:hAnsi="Palatino Linotype" w:cs="Simplified Arabic"/>
            <w:color w:val="auto"/>
            <w:lang w:val="en-GB"/>
          </w:rPr>
          <w:t>https://doi.org/10.1108/IJSSP-07-2020-0323</w:t>
        </w:r>
      </w:hyperlink>
    </w:p>
    <w:p w14:paraId="4E13F3E8"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Narayan, P. K. (2005). The saving and investment nexus for China: Evidence from cointegration tests. Applied Economics, 37(17), 1979–1990. </w:t>
      </w:r>
      <w:hyperlink r:id="rId38" w:history="1">
        <w:r w:rsidRPr="00D6346F">
          <w:rPr>
            <w:rStyle w:val="Hyperlink"/>
            <w:rFonts w:ascii="Palatino Linotype" w:hAnsi="Palatino Linotype" w:cs="Simplified Arabic"/>
            <w:color w:val="auto"/>
            <w:lang w:val="en-GB"/>
          </w:rPr>
          <w:t>https://doi.org/10.1080/00036840500278103</w:t>
        </w:r>
      </w:hyperlink>
    </w:p>
    <w:p w14:paraId="6E80FB12" w14:textId="77777777" w:rsidR="00587784" w:rsidRPr="00D6346F" w:rsidRDefault="00587784" w:rsidP="00D6346F">
      <w:pPr>
        <w:numPr>
          <w:ilvl w:val="0"/>
          <w:numId w:val="16"/>
        </w:numPr>
        <w:spacing w:after="60" w:line="240" w:lineRule="atLeast"/>
        <w:ind w:left="450"/>
        <w:rPr>
          <w:rStyle w:val="Hyperlink"/>
          <w:rFonts w:ascii="Palatino Linotype" w:hAnsi="Palatino Linotype" w:cs="Simplified Arabic"/>
          <w:color w:val="auto"/>
          <w:lang w:val="en-GB"/>
        </w:rPr>
      </w:pPr>
      <w:r w:rsidRPr="00D6346F">
        <w:rPr>
          <w:rStyle w:val="Strong"/>
          <w:rFonts w:ascii="Palatino Linotype" w:hAnsi="Palatino Linotype" w:cs="Simplified Arabic"/>
          <w:b w:val="0"/>
          <w:bCs w:val="0"/>
          <w:lang w:val="en-GB"/>
        </w:rPr>
        <w:lastRenderedPageBreak/>
        <w:t xml:space="preserve">Newey, W. K., &amp; West, K. D. (1987). A simple, positive semi-definite, heteroskedasticity and autocorrelation consistent covariance matrix. Econometrica, 55(3), 703–708. </w:t>
      </w:r>
      <w:hyperlink r:id="rId39" w:history="1">
        <w:r w:rsidRPr="00D6346F">
          <w:rPr>
            <w:rStyle w:val="Hyperlink"/>
            <w:rFonts w:ascii="Palatino Linotype" w:hAnsi="Palatino Linotype" w:cs="Simplified Arabic"/>
            <w:color w:val="auto"/>
            <w:lang w:val="en-GB"/>
          </w:rPr>
          <w:t>https://doi.org/10.2307/1913610</w:t>
        </w:r>
      </w:hyperlink>
      <w:r w:rsidRPr="00D6346F">
        <w:rPr>
          <w:rStyle w:val="Hyperlink"/>
          <w:rFonts w:ascii="Palatino Linotype" w:hAnsi="Palatino Linotype" w:cs="Simplified Arabic"/>
          <w:color w:val="auto"/>
          <w:lang w:val="en-GB"/>
        </w:rPr>
        <w:t>.</w:t>
      </w:r>
    </w:p>
    <w:p w14:paraId="652CE20A"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Nunes, R. C. (2023). Technical progress in classical economics: Adam Smith, David Ricardo and Karl Marx. IOSR Journal of Economics and Finance, 14(5), 16–23. </w:t>
      </w:r>
      <w:hyperlink r:id="rId40" w:history="1">
        <w:r w:rsidRPr="00D6346F">
          <w:rPr>
            <w:rStyle w:val="Hyperlink"/>
            <w:rFonts w:ascii="Palatino Linotype" w:hAnsi="Palatino Linotype" w:cs="Simplified Arabic"/>
            <w:color w:val="auto"/>
            <w:lang w:val="en-GB"/>
          </w:rPr>
          <w:t>https://doi.org/10.9790/5933-1405061623</w:t>
        </w:r>
        <w:r w:rsidRPr="00D6346F">
          <w:rPr>
            <w:rStyle w:val="Hyperlink"/>
            <w:rFonts w:ascii="Times New Roman" w:hAnsi="Times New Roman" w:cs="Simplified Arabic"/>
            <w:color w:val="auto"/>
            <w:lang w:val="en-GB"/>
          </w:rPr>
          <w:t>⁠</w:t>
        </w:r>
      </w:hyperlink>
    </w:p>
    <w:p w14:paraId="05E88742"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Olanrewaju, A. S. T., Khan, A. R., &amp; Yakubu, I. N. (2024). COVID-19 and digital inclusion: Impact on employment. Digital Future, 2(1), 190–203. </w:t>
      </w:r>
      <w:hyperlink r:id="rId41" w:history="1">
        <w:r w:rsidRPr="00D6346F">
          <w:rPr>
            <w:rStyle w:val="Hyperlink"/>
            <w:rFonts w:ascii="Palatino Linotype" w:hAnsi="Palatino Linotype" w:cs="Simplified Arabic"/>
            <w:color w:val="auto"/>
            <w:lang w:val="en-GB"/>
          </w:rPr>
          <w:t>https://doi.org/10.1016/j.jdec.2024.01.003</w:t>
        </w:r>
      </w:hyperlink>
    </w:p>
    <w:p w14:paraId="4499987D"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Oseni, I. O., &amp; Oyelade, A. O. (2023). Effect of capital expenditure on unemployment rate in Nigeria. African Journal of Economic Review, 11(3), 1–12.</w:t>
      </w:r>
    </w:p>
    <w:p w14:paraId="537BBF03"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Pasara, M. T., &amp; Garidzirai, R. (2020). Causality effects among gross capital formation, unemployment and economic growth in South Africa. Economies, 8(2), 26. </w:t>
      </w:r>
      <w:hyperlink r:id="rId42" w:history="1">
        <w:r w:rsidRPr="00D6346F">
          <w:rPr>
            <w:rStyle w:val="Hyperlink"/>
            <w:rFonts w:ascii="Palatino Linotype" w:hAnsi="Palatino Linotype" w:cs="Simplified Arabic"/>
            <w:color w:val="auto"/>
            <w:lang w:val="en-GB"/>
          </w:rPr>
          <w:t>https://doi.org/10.3390/economies8020026</w:t>
        </w:r>
      </w:hyperlink>
    </w:p>
    <w:p w14:paraId="4D5BBA7E"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Pesaran, M. H., &amp; Shin, Y. (1999). An autoregressive distributed-lag modelling approach to cointegration analysis. In S. Strøm (Ed.), Econometrics and economic theory in the 20th century: The Ragnar Frisch Centennial Symposium (pp. 371–413). Cambridge University Press.</w:t>
      </w:r>
    </w:p>
    <w:p w14:paraId="530E5CE6"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Pesaran, M. H., Shin, Y., &amp; Smith, R. J. (2001). Bounds testing approaches to the analysis of level relationships. Journal of Applied Econometrics, 16(3), 289–326. </w:t>
      </w:r>
      <w:hyperlink r:id="rId43" w:history="1">
        <w:r w:rsidRPr="00D6346F">
          <w:rPr>
            <w:rStyle w:val="Hyperlink"/>
            <w:rFonts w:ascii="Palatino Linotype" w:hAnsi="Palatino Linotype" w:cs="Simplified Arabic"/>
            <w:color w:val="auto"/>
            <w:lang w:val="en-GB"/>
          </w:rPr>
          <w:t>https://doi.org/10.1002/jae.616</w:t>
        </w:r>
      </w:hyperlink>
    </w:p>
    <w:p w14:paraId="690EB753"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Ramsey, J. B. (1969). Tests for specification errors in classical linear least-squares regression analysis. Journal of the Royal Statistical Society: Series B (Methodological), 31(2), 350–371.</w:t>
      </w:r>
    </w:p>
    <w:p w14:paraId="749BC7D6"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Rolleman, A. (2016). Exploring consequences of robotics for the labour market: A microeconomic approach.</w:t>
      </w:r>
    </w:p>
    <w:p w14:paraId="174E510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Rudskaya, I., &amp; Konnikov, E. (2020). Digital transformation of the labor market. Revista Inclusiones, 188–199.</w:t>
      </w:r>
    </w:p>
    <w:p w14:paraId="32877626"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Sarabdeen, M., &amp; Alofaysan, H. (2023). Investigating the impact of digital transformation on the labor market in the era of changing digital transformation dynamics in Saudi Arabia. Economies, 11(1), 12. https://doi.org/10.3390/economies11010012</w:t>
      </w:r>
    </w:p>
    <w:p w14:paraId="11CC6C45"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Schwarz, G. (1978). Estimating the dimension of a model. The Annals of Statistics, 6(2), 461–464.</w:t>
      </w:r>
    </w:p>
    <w:p w14:paraId="6A624C16"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Fonts w:ascii="Palatino Linotype" w:eastAsia="Times New Roman" w:hAnsi="Palatino Linotype" w:cs="Simplified Arabic"/>
          <w:lang w:eastAsia="ja-JP"/>
        </w:rPr>
        <w:t xml:space="preserve">Śledzik, K. (2013). Schumpeter’s view on innovation and entrepreneurship. In S. Hittmár (Ed.), </w:t>
      </w:r>
      <w:r w:rsidRPr="00D6346F">
        <w:rPr>
          <w:rFonts w:ascii="Palatino Linotype" w:eastAsia="Times New Roman" w:hAnsi="Palatino Linotype" w:cs="Simplified Arabic"/>
          <w:i/>
          <w:iCs/>
          <w:lang w:eastAsia="ja-JP"/>
        </w:rPr>
        <w:t>Management trends in theory and practice</w:t>
      </w:r>
      <w:r w:rsidRPr="00D6346F">
        <w:rPr>
          <w:rFonts w:ascii="Palatino Linotype" w:eastAsia="Times New Roman" w:hAnsi="Palatino Linotype" w:cs="Simplified Arabic"/>
          <w:lang w:eastAsia="ja-JP"/>
        </w:rPr>
        <w:t xml:space="preserve"> (pp. 89–95). University of Žilina.</w:t>
      </w:r>
    </w:p>
    <w:p w14:paraId="580DCA99"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Smith, K. W., &amp; Sasaki, M. S. (1979). Decreasing multicollinearity: A method for models with multiplicative functions. Sociological Methods &amp; Research, 8(1), 35–56.</w:t>
      </w:r>
    </w:p>
    <w:p w14:paraId="24222AEC"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lastRenderedPageBreak/>
        <w:t>Stecenko, I. (2025). Shift of the labour market in the context of digital transformation of the economy (Doctoral dissertation, TRANSPORT AND TELECOMMUNICATION INSTITUTE).</w:t>
      </w:r>
    </w:p>
    <w:p w14:paraId="4DD56352"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Fonts w:ascii="Palatino Linotype" w:hAnsi="Palatino Linotype" w:cs="Simplified Arabic"/>
        </w:rPr>
        <w:t xml:space="preserve">Szabó-Szentgróti, G., Végvári, B., &amp; Varga, J. (2021). Impact of Industry 4.0 and digitization on labor market for 2030—Verification of Keynes’ prediction. </w:t>
      </w:r>
      <w:r w:rsidRPr="00D6346F">
        <w:rPr>
          <w:rStyle w:val="Emphasis"/>
          <w:rFonts w:ascii="Palatino Linotype" w:hAnsi="Palatino Linotype" w:cs="Simplified Arabic"/>
        </w:rPr>
        <w:t>Sustainability, 13</w:t>
      </w:r>
      <w:r w:rsidRPr="00D6346F">
        <w:rPr>
          <w:rFonts w:ascii="Palatino Linotype" w:hAnsi="Palatino Linotype" w:cs="Simplified Arabic"/>
        </w:rPr>
        <w:t xml:space="preserve">(14), 7703. </w:t>
      </w:r>
      <w:hyperlink r:id="rId44" w:tgtFrame="_new" w:history="1">
        <w:r w:rsidRPr="00D6346F">
          <w:rPr>
            <w:rStyle w:val="Hyperlink"/>
            <w:rFonts w:ascii="Palatino Linotype" w:hAnsi="Palatino Linotype" w:cs="Simplified Arabic"/>
          </w:rPr>
          <w:t>https://doi.org/10.3390/su13147703</w:t>
        </w:r>
      </w:hyperlink>
    </w:p>
    <w:p w14:paraId="0E50147D"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Todaro, M. P., &amp; Smith, S. C. (2006). Economic development (9th ed.). Pearson Addison Wesley.</w:t>
      </w:r>
    </w:p>
    <w:p w14:paraId="312EAEC4"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Végvári, B., &amp; Varga, J. (2021). [See Szabó-Szentgróti et al. (2021)].</w:t>
      </w:r>
    </w:p>
    <w:p w14:paraId="66F3673F"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Vermeulen, B., Kesselhut, J., Pyka, A., &amp; Saviotti, P. P. (2018). The impact of automation on employment: Just the usual structural change? Sustainability, 10(5), 1661. </w:t>
      </w:r>
      <w:hyperlink r:id="rId45" w:history="1">
        <w:r w:rsidRPr="00D6346F">
          <w:rPr>
            <w:rStyle w:val="Hyperlink"/>
            <w:rFonts w:ascii="Palatino Linotype" w:hAnsi="Palatino Linotype" w:cs="Simplified Arabic"/>
            <w:color w:val="auto"/>
            <w:lang w:val="en-GB"/>
          </w:rPr>
          <w:t>https://doi.org/10.3390/su10051661</w:t>
        </w:r>
      </w:hyperlink>
    </w:p>
    <w:p w14:paraId="22CCD81F"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Walwei, U. (2016). Digitalisation and structural labour market problems: The case of Germany. International Labour Organization.</w:t>
      </w:r>
    </w:p>
    <w:p w14:paraId="278BD6E2"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Webster, A., Khorana, S., &amp; Pastore, F. (2021). The labour market impact of COVID-19: Early evidence for a sample of enterprises from Southern Europe. International Journal of Manpower.</w:t>
      </w:r>
    </w:p>
    <w:p w14:paraId="3ABF69BA"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Wijayanti, F., &amp; Turgel, I. D. (2021). The consequences of digitalisation of the labor market in developing countries: Case study in Indonesia. In XV International Conference "Russian Regions in the Focus of Changes" (ICRRFC 2020) (pp. 96–105). Atlantis Press.</w:t>
      </w:r>
    </w:p>
    <w:p w14:paraId="5C47E54D"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World Bank. (2020). Arab Republic of Egypt digital economy country assessment (DECA). World Bank.</w:t>
      </w:r>
    </w:p>
    <w:p w14:paraId="4D34A7EB" w14:textId="77777777" w:rsidR="00587784" w:rsidRPr="00D6346F" w:rsidRDefault="00587784" w:rsidP="00D6346F">
      <w:pPr>
        <w:numPr>
          <w:ilvl w:val="0"/>
          <w:numId w:val="16"/>
        </w:numPr>
        <w:spacing w:after="60" w:line="240" w:lineRule="atLeast"/>
        <w:ind w:left="450"/>
        <w:rPr>
          <w:rStyle w:val="Strong"/>
          <w:rFonts w:ascii="Palatino Linotype" w:hAnsi="Palatino Linotype" w:cs="Simplified Arabic"/>
          <w:b w:val="0"/>
          <w:bCs w:val="0"/>
          <w:lang w:val="en-GB"/>
        </w:rPr>
      </w:pPr>
      <w:r w:rsidRPr="00D6346F">
        <w:rPr>
          <w:rStyle w:val="Strong"/>
          <w:rFonts w:ascii="Palatino Linotype" w:hAnsi="Palatino Linotype" w:cs="Simplified Arabic"/>
          <w:b w:val="0"/>
          <w:bCs w:val="0"/>
          <w:lang w:val="en-GB"/>
        </w:rPr>
        <w:t xml:space="preserve">World Bank. (n.d.). World Development Indicators [Data set]. World Bank. </w:t>
      </w:r>
      <w:hyperlink r:id="rId46" w:history="1">
        <w:r w:rsidRPr="00D6346F">
          <w:rPr>
            <w:rStyle w:val="Hyperlink"/>
            <w:rFonts w:ascii="Palatino Linotype" w:hAnsi="Palatino Linotype" w:cs="Simplified Arabic"/>
            <w:color w:val="auto"/>
            <w:lang w:val="en-GB"/>
          </w:rPr>
          <w:t>https://databank.worldbank.org/source/world-development-indicators</w:t>
        </w:r>
      </w:hyperlink>
    </w:p>
    <w:p w14:paraId="781AC041" w14:textId="77777777" w:rsidR="00587784" w:rsidRPr="00B67805" w:rsidRDefault="00587784" w:rsidP="00D6346F">
      <w:pPr>
        <w:spacing w:after="60" w:line="240" w:lineRule="atLeast"/>
        <w:ind w:left="90"/>
        <w:rPr>
          <w:rStyle w:val="Strong"/>
          <w:rFonts w:ascii="Palatino Linotype" w:hAnsi="Palatino Linotype" w:cs="Simplified Arabic"/>
          <w:b w:val="0"/>
          <w:bCs w:val="0"/>
          <w:lang w:val="en-GB"/>
        </w:rPr>
      </w:pPr>
    </w:p>
    <w:p w14:paraId="354E6E4E" w14:textId="77777777" w:rsidR="00587784" w:rsidRPr="00B67805" w:rsidRDefault="00587784" w:rsidP="00D6346F">
      <w:pPr>
        <w:spacing w:after="60" w:line="240" w:lineRule="atLeast"/>
        <w:ind w:left="450" w:hanging="360"/>
        <w:rPr>
          <w:rStyle w:val="Strong"/>
          <w:rFonts w:ascii="Palatino Linotype" w:hAnsi="Palatino Linotype" w:cs="Simplified Arabic"/>
          <w:b w:val="0"/>
          <w:bCs w:val="0"/>
          <w:lang w:val="en-GB"/>
        </w:rPr>
      </w:pPr>
    </w:p>
    <w:p w14:paraId="1CEA875F" w14:textId="77777777" w:rsidR="00587784" w:rsidRPr="00B67805" w:rsidRDefault="00587784" w:rsidP="00D6346F">
      <w:pPr>
        <w:spacing w:after="60" w:line="240" w:lineRule="atLeast"/>
        <w:ind w:left="450" w:hanging="360"/>
        <w:rPr>
          <w:rStyle w:val="Strong"/>
          <w:rFonts w:ascii="Palatino Linotype" w:hAnsi="Palatino Linotype" w:cs="Simplified Arabic"/>
          <w:b w:val="0"/>
          <w:bCs w:val="0"/>
          <w:lang w:val="en-GB"/>
        </w:rPr>
      </w:pPr>
    </w:p>
    <w:p w14:paraId="10600DDA" w14:textId="652F375B" w:rsidR="009A707C" w:rsidRPr="00587784" w:rsidRDefault="009A707C" w:rsidP="00D6346F">
      <w:pPr>
        <w:rPr>
          <w:lang w:val="en-GB"/>
        </w:rPr>
      </w:pPr>
    </w:p>
    <w:sectPr w:rsidR="009A707C" w:rsidRPr="00587784" w:rsidSect="00AB636E">
      <w:headerReference w:type="even" r:id="rId47"/>
      <w:headerReference w:type="default" r:id="rId48"/>
      <w:footerReference w:type="default" r:id="rId49"/>
      <w:headerReference w:type="first" r:id="rId50"/>
      <w:footerReference w:type="first" r:id="rId51"/>
      <w:type w:val="continuous"/>
      <w:pgSz w:w="11907" w:h="16840" w:code="9"/>
      <w:pgMar w:top="1440" w:right="1797" w:bottom="1440" w:left="1797" w:header="1021" w:footer="624" w:gutter="0"/>
      <w:pgNumType w:start="0"/>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8F9D" w14:textId="77777777" w:rsidR="009A05AF" w:rsidRDefault="009A05AF">
      <w:pPr>
        <w:spacing w:line="240" w:lineRule="auto"/>
      </w:pPr>
      <w:r>
        <w:separator/>
      </w:r>
    </w:p>
  </w:endnote>
  <w:endnote w:type="continuationSeparator" w:id="0">
    <w:p w14:paraId="60714377" w14:textId="77777777" w:rsidR="009A05AF" w:rsidRDefault="009A05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egoeUI-Bold">
    <w:altName w:val="Segoe UI"/>
    <w:charset w:val="00"/>
    <w:family w:val="roman"/>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281A" w14:textId="77777777" w:rsidR="00100524" w:rsidRPr="00655F69" w:rsidRDefault="00100524" w:rsidP="00100524">
    <w:pPr>
      <w:pStyle w:val="TSPheader"/>
      <w:ind w:right="-759"/>
      <w:rPr>
        <w:rFonts w:ascii="Palatino Linotype" w:eastAsiaTheme="minorEastAsia" w:hAnsi="Palatino Linotype"/>
        <w:i/>
        <w:iCs w:val="0"/>
        <w:sz w:val="20"/>
        <w:lang w:eastAsia="zh-CN"/>
      </w:rPr>
    </w:pPr>
    <w:proofErr w:type="spellStart"/>
    <w:r w:rsidRPr="00330846">
      <w:rPr>
        <w:rFonts w:ascii="Palatino Linotype" w:hAnsi="Palatino Linotype"/>
        <w:i/>
        <w:iCs w:val="0"/>
        <w:sz w:val="20"/>
      </w:rPr>
      <w:t>Benha</w:t>
    </w:r>
    <w:proofErr w:type="spellEnd"/>
    <w:r w:rsidRPr="00330846">
      <w:rPr>
        <w:rFonts w:ascii="Palatino Linotype" w:hAnsi="Palatino Linotype"/>
        <w:i/>
        <w:iCs w:val="0"/>
        <w:sz w:val="20"/>
      </w:rPr>
      <w:t xml:space="preserve"> J. </w:t>
    </w:r>
    <w:proofErr w:type="spellStart"/>
    <w:r w:rsidRPr="00330846">
      <w:rPr>
        <w:rFonts w:ascii="Palatino Linotype" w:hAnsi="Palatino Linotype"/>
        <w:i/>
        <w:iCs w:val="0"/>
        <w:sz w:val="20"/>
      </w:rPr>
      <w:t>Humanit</w:t>
    </w:r>
    <w:proofErr w:type="spellEnd"/>
    <w:r w:rsidRPr="00330846">
      <w:rPr>
        <w:rFonts w:ascii="Palatino Linotype" w:hAnsi="Palatino Linotype"/>
        <w:i/>
        <w:iCs w:val="0"/>
        <w:sz w:val="20"/>
      </w:rPr>
      <w:t>. Sci</w:t>
    </w:r>
    <w:r w:rsidRPr="00655F69">
      <w:rPr>
        <w:rFonts w:ascii="Palatino Linotype" w:hAnsi="Palatino Linotype"/>
        <w:i/>
        <w:iCs w:val="0"/>
        <w:sz w:val="20"/>
      </w:rPr>
      <w:t>., 202</w:t>
    </w:r>
    <w:r>
      <w:rPr>
        <w:rFonts w:ascii="Palatino Linotype" w:hAnsi="Palatino Linotype"/>
        <w:i/>
        <w:iCs w:val="0"/>
        <w:sz w:val="20"/>
      </w:rPr>
      <w:t>6</w:t>
    </w:r>
    <w:r w:rsidRPr="00655F69">
      <w:rPr>
        <w:rFonts w:ascii="Palatino Linotype" w:hAnsi="Palatino Linotype"/>
        <w:i/>
        <w:iCs w:val="0"/>
        <w:sz w:val="20"/>
      </w:rPr>
      <w:t>; volume(</w:t>
    </w:r>
    <w:r>
      <w:rPr>
        <w:rFonts w:ascii="Palatino Linotype" w:hAnsi="Palatino Linotype"/>
        <w:i/>
        <w:iCs w:val="0"/>
        <w:sz w:val="20"/>
      </w:rPr>
      <w:t>issue), xxx-xxx</w:t>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Pr>
        <w:rFonts w:ascii="Palatino Linotype" w:hAnsi="Palatino Linotype"/>
        <w:i/>
        <w:iCs w:val="0"/>
        <w:sz w:val="20"/>
      </w:rPr>
      <w:tab/>
    </w:r>
    <w:r w:rsidRPr="00655F69">
      <w:rPr>
        <w:rFonts w:ascii="Palatino Linotype" w:hAnsi="Palatino Linotype"/>
        <w:sz w:val="20"/>
      </w:rPr>
      <w:fldChar w:fldCharType="begin"/>
    </w:r>
    <w:r w:rsidRPr="00655F69">
      <w:rPr>
        <w:rFonts w:ascii="Palatino Linotype" w:hAnsi="Palatino Linotype"/>
        <w:sz w:val="20"/>
      </w:rPr>
      <w:instrText xml:space="preserve"> PAGE   \* MERGEFORMAT </w:instrText>
    </w:r>
    <w:r w:rsidRPr="00655F69">
      <w:rPr>
        <w:rFonts w:ascii="Palatino Linotype" w:hAnsi="Palatino Linotype"/>
        <w:sz w:val="20"/>
      </w:rPr>
      <w:fldChar w:fldCharType="separate"/>
    </w:r>
    <w:r>
      <w:rPr>
        <w:rFonts w:ascii="Palatino Linotype" w:hAnsi="Palatino Linotype"/>
        <w:sz w:val="20"/>
      </w:rPr>
      <w:t>2</w:t>
    </w:r>
    <w:r w:rsidRPr="00655F69">
      <w:rPr>
        <w:rFonts w:ascii="Palatino Linotype" w:hAnsi="Palatino Linotype"/>
        <w:sz w:val="20"/>
      </w:rPr>
      <w:fldChar w:fldCharType="end"/>
    </w:r>
  </w:p>
  <w:p w14:paraId="0CF8D089" w14:textId="77777777" w:rsidR="00100524" w:rsidRDefault="00100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543B" w14:textId="77777777" w:rsidR="00C34E4B" w:rsidRPr="00375B4C" w:rsidRDefault="00C34E4B" w:rsidP="00640712">
    <w:pPr>
      <w:spacing w:before="240" w:line="100" w:lineRule="exact"/>
      <w:jc w:val="left"/>
      <w:rPr>
        <w:sz w:val="16"/>
        <w:szCs w:val="16"/>
      </w:rPr>
    </w:pPr>
  </w:p>
  <w:p w14:paraId="732C743B" w14:textId="77777777" w:rsidR="00776E78" w:rsidRDefault="00776E78" w:rsidP="007F1339">
    <w:pPr>
      <w:pStyle w:val="Footer"/>
      <w:spacing w:line="19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6BBC1" w14:textId="77777777" w:rsidR="009A05AF" w:rsidRDefault="009A05AF">
      <w:pPr>
        <w:spacing w:line="240" w:lineRule="auto"/>
      </w:pPr>
      <w:r>
        <w:separator/>
      </w:r>
    </w:p>
  </w:footnote>
  <w:footnote w:type="continuationSeparator" w:id="0">
    <w:p w14:paraId="51D7D4DA" w14:textId="77777777" w:rsidR="009A05AF" w:rsidRDefault="009A05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2126"/>
      <w:gridCol w:w="3261"/>
    </w:tblGrid>
    <w:tr w:rsidR="00AB636E" w:rsidRPr="00262136" w14:paraId="2C906F7F" w14:textId="77777777" w:rsidTr="009B4017">
      <w:trPr>
        <w:cantSplit/>
        <w:trHeight w:val="567"/>
      </w:trPr>
      <w:tc>
        <w:tcPr>
          <w:tcW w:w="3544" w:type="dxa"/>
          <w:vAlign w:val="center"/>
        </w:tcPr>
        <w:p w14:paraId="472380D2" w14:textId="77777777" w:rsidR="00AB636E" w:rsidRPr="00D435BC" w:rsidRDefault="00AB636E" w:rsidP="00AB636E">
          <w:pPr>
            <w:pStyle w:val="TSPheaderjournallogo"/>
            <w:jc w:val="center"/>
            <w:rPr>
              <w:rFonts w:asciiTheme="majorBidi" w:hAnsiTheme="majorBidi" w:cstheme="majorBidi"/>
              <w:b/>
              <w:bCs/>
              <w:color w:val="auto"/>
              <w:sz w:val="20"/>
              <w:szCs w:val="20"/>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Journal of Humanities Sciences</w:t>
          </w:r>
        </w:p>
        <w:p w14:paraId="3811C9F6" w14:textId="77777777" w:rsidR="00AB636E" w:rsidRPr="0018753F" w:rsidRDefault="00AB636E" w:rsidP="00AB636E">
          <w:pPr>
            <w:pStyle w:val="TSPheaderjournallogo"/>
            <w:jc w:val="center"/>
            <w:rPr>
              <w:rFonts w:asciiTheme="majorBidi" w:hAnsiTheme="majorBidi" w:cstheme="majorBidi"/>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University</w:t>
          </w:r>
        </w:p>
      </w:tc>
      <w:tc>
        <w:tcPr>
          <w:tcW w:w="2126" w:type="dxa"/>
          <w:vAlign w:val="center"/>
        </w:tcPr>
        <w:p w14:paraId="1D7DBBC2" w14:textId="77777777" w:rsidR="00AB636E" w:rsidRDefault="00AB636E" w:rsidP="00AB636E">
          <w:pPr>
            <w:spacing w:line="240" w:lineRule="auto"/>
            <w:jc w:val="center"/>
            <w:rPr>
              <w:rtl/>
            </w:rPr>
          </w:pPr>
          <w:r>
            <w:drawing>
              <wp:inline distT="0" distB="0" distL="0" distR="0" wp14:anchorId="5A5E48B2" wp14:editId="6E17C295">
                <wp:extent cx="742565" cy="574040"/>
                <wp:effectExtent l="0" t="0" r="635" b="0"/>
                <wp:docPr id="3" name="Picture 3" descr="Benha University | Be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ha University | Benha"/>
                        <pic:cNvPicPr>
                          <a:picLocks noChangeAspect="1" noChangeArrowheads="1"/>
                        </pic:cNvPicPr>
                      </pic:nvPicPr>
                      <pic:blipFill rotWithShape="1">
                        <a:blip r:embed="rId1">
                          <a:extLst>
                            <a:ext uri="{28A0092B-C50C-407E-A947-70E740481C1C}">
                              <a14:useLocalDpi xmlns:a14="http://schemas.microsoft.com/office/drawing/2010/main" val="0"/>
                            </a:ext>
                          </a:extLst>
                        </a:blip>
                        <a:srcRect l="14601" t="8072" r="13716" b="13453"/>
                        <a:stretch/>
                      </pic:blipFill>
                      <pic:spPr bwMode="auto">
                        <a:xfrm>
                          <a:off x="0" y="0"/>
                          <a:ext cx="756292" cy="5846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1" w:type="dxa"/>
          <w:vAlign w:val="center"/>
        </w:tcPr>
        <w:p w14:paraId="7B98CFB3" w14:textId="77777777" w:rsidR="00AB636E" w:rsidRPr="00D435BC" w:rsidRDefault="00AB636E" w:rsidP="00AB636E">
          <w:pPr>
            <w:pStyle w:val="TSPheadertsplogo"/>
            <w:jc w:val="both"/>
            <w:rPr>
              <w:rFonts w:asciiTheme="majorBidi" w:hAnsiTheme="majorBidi" w:cstheme="majorBidi"/>
              <w:color w:val="auto"/>
              <w:sz w:val="20"/>
              <w:szCs w:val="20"/>
            </w:rPr>
          </w:pPr>
          <w:r w:rsidRPr="00D435BC">
            <w:rPr>
              <w:rFonts w:asciiTheme="majorBidi" w:hAnsiTheme="majorBidi" w:cstheme="majorBidi"/>
              <w:color w:val="auto"/>
              <w:sz w:val="20"/>
              <w:szCs w:val="20"/>
            </w:rPr>
            <w:t>Vol. xx, Issue xx,</w:t>
          </w:r>
          <w:r>
            <w:rPr>
              <w:rFonts w:asciiTheme="majorBidi" w:hAnsiTheme="majorBidi" w:cstheme="majorBidi"/>
              <w:color w:val="auto"/>
              <w:sz w:val="20"/>
              <w:szCs w:val="20"/>
            </w:rPr>
            <w:t xml:space="preserve"> 2026,</w:t>
          </w:r>
          <w:r w:rsidRPr="00D435BC">
            <w:rPr>
              <w:rFonts w:asciiTheme="majorBidi" w:hAnsiTheme="majorBidi" w:cstheme="majorBidi"/>
              <w:color w:val="auto"/>
              <w:sz w:val="20"/>
              <w:szCs w:val="20"/>
            </w:rPr>
            <w:t xml:space="preserve"> PP: xxx-xxx</w:t>
          </w:r>
        </w:p>
        <w:p w14:paraId="3064F825" w14:textId="77777777" w:rsidR="00AB636E" w:rsidRPr="0018753F" w:rsidRDefault="00AB636E" w:rsidP="00AB636E">
          <w:pPr>
            <w:pStyle w:val="TSPheadertsplogo"/>
            <w:jc w:val="left"/>
            <w:rPr>
              <w:rFonts w:asciiTheme="majorBidi" w:hAnsiTheme="majorBidi" w:cstheme="majorBidi"/>
              <w:color w:val="auto"/>
            </w:rPr>
          </w:pPr>
          <w:r w:rsidRPr="00D435BC">
            <w:rPr>
              <w:rFonts w:asciiTheme="majorBidi" w:hAnsiTheme="majorBidi" w:cstheme="majorBidi"/>
              <w:color w:val="auto"/>
              <w:sz w:val="20"/>
              <w:szCs w:val="20"/>
            </w:rPr>
            <w:t>DOI:</w:t>
          </w:r>
        </w:p>
      </w:tc>
    </w:tr>
    <w:tr w:rsidR="00AB636E" w:rsidRPr="00262136" w14:paraId="1DE0F687" w14:textId="77777777" w:rsidTr="009B4017">
      <w:trPr>
        <w:cantSplit/>
        <w:trHeight w:val="232"/>
      </w:trPr>
      <w:tc>
        <w:tcPr>
          <w:tcW w:w="8931" w:type="dxa"/>
          <w:gridSpan w:val="3"/>
          <w:tcBorders>
            <w:bottom w:val="single" w:sz="18" w:space="0" w:color="auto"/>
          </w:tcBorders>
          <w:vAlign w:val="center"/>
        </w:tcPr>
        <w:p w14:paraId="3C121CA0" w14:textId="77777777" w:rsidR="00AB636E" w:rsidRPr="00674EC2" w:rsidRDefault="00AB636E" w:rsidP="00AB636E">
          <w:pPr>
            <w:pStyle w:val="TSPheadertsplogo"/>
            <w:spacing w:line="360" w:lineRule="auto"/>
            <w:jc w:val="center"/>
            <w:rPr>
              <w:rFonts w:asciiTheme="majorBidi" w:hAnsiTheme="majorBidi" w:cstheme="majorBidi"/>
              <w:color w:val="auto"/>
              <w:sz w:val="20"/>
              <w:szCs w:val="20"/>
            </w:rPr>
          </w:pPr>
          <w:r w:rsidRPr="00674EC2">
            <w:rPr>
              <w:rFonts w:asciiTheme="majorBidi" w:eastAsia="Calibri" w:hAnsiTheme="majorBidi" w:cstheme="majorBidi"/>
              <w:sz w:val="20"/>
              <w:szCs w:val="20"/>
              <w:lang w:bidi="ar-EG"/>
            </w:rPr>
            <w:t>https://bjhs.journals.ekb.eg</w:t>
          </w:r>
        </w:p>
      </w:tc>
    </w:tr>
  </w:tbl>
  <w:p w14:paraId="3745BBCE" w14:textId="77777777" w:rsidR="00100524" w:rsidRDefault="00100524" w:rsidP="00AB636E">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2126"/>
      <w:gridCol w:w="3261"/>
    </w:tblGrid>
    <w:tr w:rsidR="00100524" w:rsidRPr="00262136" w14:paraId="53A411AC" w14:textId="77777777" w:rsidTr="009B4017">
      <w:trPr>
        <w:cantSplit/>
        <w:trHeight w:val="567"/>
      </w:trPr>
      <w:tc>
        <w:tcPr>
          <w:tcW w:w="3544" w:type="dxa"/>
          <w:vAlign w:val="center"/>
        </w:tcPr>
        <w:p w14:paraId="024DE317" w14:textId="77777777" w:rsidR="00100524" w:rsidRPr="00D435BC" w:rsidRDefault="00100524" w:rsidP="00100524">
          <w:pPr>
            <w:pStyle w:val="TSPheaderjournallogo"/>
            <w:jc w:val="center"/>
            <w:rPr>
              <w:rFonts w:asciiTheme="majorBidi" w:hAnsiTheme="majorBidi" w:cstheme="majorBidi"/>
              <w:b/>
              <w:bCs/>
              <w:color w:val="auto"/>
              <w:sz w:val="20"/>
              <w:szCs w:val="20"/>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Journal of Humanities Sciences</w:t>
          </w:r>
        </w:p>
        <w:p w14:paraId="010D890E" w14:textId="77777777" w:rsidR="00100524" w:rsidRPr="0018753F" w:rsidRDefault="00100524" w:rsidP="00100524">
          <w:pPr>
            <w:pStyle w:val="TSPheaderjournallogo"/>
            <w:jc w:val="center"/>
            <w:rPr>
              <w:rFonts w:asciiTheme="majorBidi" w:hAnsiTheme="majorBidi" w:cstheme="majorBidi"/>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University</w:t>
          </w:r>
        </w:p>
      </w:tc>
      <w:tc>
        <w:tcPr>
          <w:tcW w:w="2126" w:type="dxa"/>
          <w:vAlign w:val="center"/>
        </w:tcPr>
        <w:p w14:paraId="7F4F8B31" w14:textId="77777777" w:rsidR="00100524" w:rsidRDefault="00100524" w:rsidP="00100524">
          <w:pPr>
            <w:spacing w:line="240" w:lineRule="auto"/>
            <w:jc w:val="center"/>
            <w:rPr>
              <w:rtl/>
            </w:rPr>
          </w:pPr>
          <w:r>
            <w:drawing>
              <wp:inline distT="0" distB="0" distL="0" distR="0" wp14:anchorId="402741CE" wp14:editId="3D1460D7">
                <wp:extent cx="742565" cy="574040"/>
                <wp:effectExtent l="0" t="0" r="635" b="0"/>
                <wp:docPr id="1" name="Picture 1" descr="Benha University | Be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ha University | Benha"/>
                        <pic:cNvPicPr>
                          <a:picLocks noChangeAspect="1" noChangeArrowheads="1"/>
                        </pic:cNvPicPr>
                      </pic:nvPicPr>
                      <pic:blipFill rotWithShape="1">
                        <a:blip r:embed="rId1">
                          <a:extLst>
                            <a:ext uri="{28A0092B-C50C-407E-A947-70E740481C1C}">
                              <a14:useLocalDpi xmlns:a14="http://schemas.microsoft.com/office/drawing/2010/main" val="0"/>
                            </a:ext>
                          </a:extLst>
                        </a:blip>
                        <a:srcRect l="14601" t="8072" r="13716" b="13453"/>
                        <a:stretch/>
                      </pic:blipFill>
                      <pic:spPr bwMode="auto">
                        <a:xfrm>
                          <a:off x="0" y="0"/>
                          <a:ext cx="756292" cy="5846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1" w:type="dxa"/>
          <w:vAlign w:val="center"/>
        </w:tcPr>
        <w:p w14:paraId="299BD4FA" w14:textId="77777777" w:rsidR="00100524" w:rsidRPr="00D435BC" w:rsidRDefault="00100524" w:rsidP="00100524">
          <w:pPr>
            <w:pStyle w:val="TSPheadertsplogo"/>
            <w:jc w:val="both"/>
            <w:rPr>
              <w:rFonts w:asciiTheme="majorBidi" w:hAnsiTheme="majorBidi" w:cstheme="majorBidi"/>
              <w:color w:val="auto"/>
              <w:sz w:val="20"/>
              <w:szCs w:val="20"/>
            </w:rPr>
          </w:pPr>
          <w:r w:rsidRPr="00D435BC">
            <w:rPr>
              <w:rFonts w:asciiTheme="majorBidi" w:hAnsiTheme="majorBidi" w:cstheme="majorBidi"/>
              <w:color w:val="auto"/>
              <w:sz w:val="20"/>
              <w:szCs w:val="20"/>
            </w:rPr>
            <w:t>Vol. xx, Issue xx,</w:t>
          </w:r>
          <w:r>
            <w:rPr>
              <w:rFonts w:asciiTheme="majorBidi" w:hAnsiTheme="majorBidi" w:cstheme="majorBidi"/>
              <w:color w:val="auto"/>
              <w:sz w:val="20"/>
              <w:szCs w:val="20"/>
            </w:rPr>
            <w:t xml:space="preserve"> 2026,</w:t>
          </w:r>
          <w:r w:rsidRPr="00D435BC">
            <w:rPr>
              <w:rFonts w:asciiTheme="majorBidi" w:hAnsiTheme="majorBidi" w:cstheme="majorBidi"/>
              <w:color w:val="auto"/>
              <w:sz w:val="20"/>
              <w:szCs w:val="20"/>
            </w:rPr>
            <w:t xml:space="preserve"> PP: xxx-xxx</w:t>
          </w:r>
        </w:p>
        <w:p w14:paraId="5A463D21" w14:textId="77777777" w:rsidR="00100524" w:rsidRPr="0018753F" w:rsidRDefault="00100524" w:rsidP="00100524">
          <w:pPr>
            <w:pStyle w:val="TSPheadertsplogo"/>
            <w:jc w:val="left"/>
            <w:rPr>
              <w:rFonts w:asciiTheme="majorBidi" w:hAnsiTheme="majorBidi" w:cstheme="majorBidi"/>
              <w:color w:val="auto"/>
            </w:rPr>
          </w:pPr>
          <w:r w:rsidRPr="00D435BC">
            <w:rPr>
              <w:rFonts w:asciiTheme="majorBidi" w:hAnsiTheme="majorBidi" w:cstheme="majorBidi"/>
              <w:color w:val="auto"/>
              <w:sz w:val="20"/>
              <w:szCs w:val="20"/>
            </w:rPr>
            <w:t>DOI:</w:t>
          </w:r>
        </w:p>
      </w:tc>
    </w:tr>
    <w:tr w:rsidR="00100524" w:rsidRPr="00262136" w14:paraId="33618B3C" w14:textId="77777777" w:rsidTr="009B4017">
      <w:trPr>
        <w:cantSplit/>
        <w:trHeight w:val="232"/>
      </w:trPr>
      <w:tc>
        <w:tcPr>
          <w:tcW w:w="8931" w:type="dxa"/>
          <w:gridSpan w:val="3"/>
          <w:tcBorders>
            <w:bottom w:val="single" w:sz="18" w:space="0" w:color="auto"/>
          </w:tcBorders>
          <w:vAlign w:val="center"/>
        </w:tcPr>
        <w:p w14:paraId="5846E8E5" w14:textId="77777777" w:rsidR="00100524" w:rsidRPr="00674EC2" w:rsidRDefault="00100524" w:rsidP="00100524">
          <w:pPr>
            <w:pStyle w:val="TSPheadertsplogo"/>
            <w:spacing w:line="360" w:lineRule="auto"/>
            <w:jc w:val="center"/>
            <w:rPr>
              <w:rFonts w:asciiTheme="majorBidi" w:hAnsiTheme="majorBidi" w:cstheme="majorBidi"/>
              <w:color w:val="auto"/>
              <w:sz w:val="20"/>
              <w:szCs w:val="20"/>
            </w:rPr>
          </w:pPr>
          <w:r w:rsidRPr="00674EC2">
            <w:rPr>
              <w:rFonts w:asciiTheme="majorBidi" w:eastAsia="Calibri" w:hAnsiTheme="majorBidi" w:cstheme="majorBidi"/>
              <w:sz w:val="20"/>
              <w:szCs w:val="20"/>
              <w:lang w:bidi="ar-EG"/>
            </w:rPr>
            <w:t>https://bjhs.journals.ekb.eg</w:t>
          </w:r>
        </w:p>
      </w:tc>
    </w:tr>
  </w:tbl>
  <w:p w14:paraId="3758E81F" w14:textId="39335B9A" w:rsidR="007F1339" w:rsidRPr="0027223F" w:rsidRDefault="007F1339" w:rsidP="0027223F">
    <w:pPr>
      <w:pStyle w:val="Header"/>
      <w:pBdr>
        <w:bottom w:val="none" w:sz="0" w:space="0" w:color="auto"/>
      </w:pBdr>
      <w:jc w:val="both"/>
      <w:rPr>
        <w:sz w:val="8"/>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2126"/>
      <w:gridCol w:w="3261"/>
    </w:tblGrid>
    <w:tr w:rsidR="005B2AC2" w:rsidRPr="00262136" w14:paraId="7C3811D1" w14:textId="77777777" w:rsidTr="005B2AC2">
      <w:trPr>
        <w:cantSplit/>
        <w:trHeight w:val="567"/>
      </w:trPr>
      <w:tc>
        <w:tcPr>
          <w:tcW w:w="3544" w:type="dxa"/>
          <w:vAlign w:val="center"/>
        </w:tcPr>
        <w:p w14:paraId="50F43B65" w14:textId="522A9DA8" w:rsidR="005B2AC2" w:rsidRPr="00D435BC" w:rsidRDefault="005B2AC2" w:rsidP="005B2AC2">
          <w:pPr>
            <w:pStyle w:val="TSPheaderjournallogo"/>
            <w:jc w:val="center"/>
            <w:rPr>
              <w:rFonts w:asciiTheme="majorBidi" w:hAnsiTheme="majorBidi" w:cstheme="majorBidi"/>
              <w:b/>
              <w:bCs/>
              <w:color w:val="auto"/>
              <w:sz w:val="20"/>
              <w:szCs w:val="20"/>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Journal of Humanit</w:t>
          </w:r>
          <w:r w:rsidR="00D435BC" w:rsidRPr="00D435BC">
            <w:rPr>
              <w:rFonts w:asciiTheme="majorBidi" w:hAnsiTheme="majorBidi" w:cstheme="majorBidi"/>
              <w:b/>
              <w:bCs/>
              <w:color w:val="auto"/>
              <w:sz w:val="20"/>
              <w:szCs w:val="20"/>
            </w:rPr>
            <w:t>ies</w:t>
          </w:r>
          <w:r w:rsidRPr="00D435BC">
            <w:rPr>
              <w:rFonts w:asciiTheme="majorBidi" w:hAnsiTheme="majorBidi" w:cstheme="majorBidi"/>
              <w:b/>
              <w:bCs/>
              <w:color w:val="auto"/>
              <w:sz w:val="20"/>
              <w:szCs w:val="20"/>
            </w:rPr>
            <w:t xml:space="preserve"> Sciences</w:t>
          </w:r>
        </w:p>
        <w:p w14:paraId="449765B0" w14:textId="77777777" w:rsidR="005B2AC2" w:rsidRPr="0018753F" w:rsidRDefault="005B2AC2" w:rsidP="005B2AC2">
          <w:pPr>
            <w:pStyle w:val="TSPheaderjournallogo"/>
            <w:jc w:val="center"/>
            <w:rPr>
              <w:rFonts w:asciiTheme="majorBidi" w:hAnsiTheme="majorBidi" w:cstheme="majorBidi"/>
            </w:rPr>
          </w:pPr>
          <w:proofErr w:type="spellStart"/>
          <w:r w:rsidRPr="00D435BC">
            <w:rPr>
              <w:rFonts w:asciiTheme="majorBidi" w:hAnsiTheme="majorBidi" w:cstheme="majorBidi"/>
              <w:b/>
              <w:bCs/>
              <w:color w:val="auto"/>
              <w:sz w:val="20"/>
              <w:szCs w:val="20"/>
            </w:rPr>
            <w:t>Benha</w:t>
          </w:r>
          <w:proofErr w:type="spellEnd"/>
          <w:r w:rsidRPr="00D435BC">
            <w:rPr>
              <w:rFonts w:asciiTheme="majorBidi" w:hAnsiTheme="majorBidi" w:cstheme="majorBidi"/>
              <w:b/>
              <w:bCs/>
              <w:color w:val="auto"/>
              <w:sz w:val="20"/>
              <w:szCs w:val="20"/>
            </w:rPr>
            <w:t xml:space="preserve"> University</w:t>
          </w:r>
        </w:p>
      </w:tc>
      <w:tc>
        <w:tcPr>
          <w:tcW w:w="2126" w:type="dxa"/>
          <w:vAlign w:val="center"/>
        </w:tcPr>
        <w:p w14:paraId="7F24DC29" w14:textId="77777777" w:rsidR="005B2AC2" w:rsidRDefault="005B2AC2" w:rsidP="005B2AC2">
          <w:pPr>
            <w:spacing w:line="240" w:lineRule="auto"/>
            <w:jc w:val="center"/>
            <w:rPr>
              <w:rtl/>
            </w:rPr>
          </w:pPr>
          <w:r>
            <w:drawing>
              <wp:inline distT="0" distB="0" distL="0" distR="0" wp14:anchorId="44F4D295" wp14:editId="7F3F6DED">
                <wp:extent cx="742565" cy="574040"/>
                <wp:effectExtent l="0" t="0" r="635" b="0"/>
                <wp:docPr id="2" name="Picture 2" descr="Benha University | Be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nha University | Benha"/>
                        <pic:cNvPicPr>
                          <a:picLocks noChangeAspect="1" noChangeArrowheads="1"/>
                        </pic:cNvPicPr>
                      </pic:nvPicPr>
                      <pic:blipFill rotWithShape="1">
                        <a:blip r:embed="rId1">
                          <a:extLst>
                            <a:ext uri="{28A0092B-C50C-407E-A947-70E740481C1C}">
                              <a14:useLocalDpi xmlns:a14="http://schemas.microsoft.com/office/drawing/2010/main" val="0"/>
                            </a:ext>
                          </a:extLst>
                        </a:blip>
                        <a:srcRect l="14601" t="8072" r="13716" b="13453"/>
                        <a:stretch/>
                      </pic:blipFill>
                      <pic:spPr bwMode="auto">
                        <a:xfrm>
                          <a:off x="0" y="0"/>
                          <a:ext cx="756292" cy="5846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1" w:type="dxa"/>
          <w:vAlign w:val="center"/>
        </w:tcPr>
        <w:p w14:paraId="441F1F2F" w14:textId="0CFAC732" w:rsidR="005B2AC2" w:rsidRPr="00D435BC" w:rsidRDefault="005B2AC2" w:rsidP="005B2AC2">
          <w:pPr>
            <w:pStyle w:val="TSPheadertsplogo"/>
            <w:jc w:val="both"/>
            <w:rPr>
              <w:rFonts w:asciiTheme="majorBidi" w:hAnsiTheme="majorBidi" w:cstheme="majorBidi"/>
              <w:color w:val="auto"/>
              <w:sz w:val="20"/>
              <w:szCs w:val="20"/>
            </w:rPr>
          </w:pPr>
          <w:r w:rsidRPr="00D435BC">
            <w:rPr>
              <w:rFonts w:asciiTheme="majorBidi" w:hAnsiTheme="majorBidi" w:cstheme="majorBidi"/>
              <w:color w:val="auto"/>
              <w:sz w:val="20"/>
              <w:szCs w:val="20"/>
            </w:rPr>
            <w:t>Vol. xx, Issue xx,</w:t>
          </w:r>
          <w:r w:rsidR="00C77A35">
            <w:rPr>
              <w:rFonts w:asciiTheme="majorBidi" w:hAnsiTheme="majorBidi" w:cstheme="majorBidi"/>
              <w:color w:val="auto"/>
              <w:sz w:val="20"/>
              <w:szCs w:val="20"/>
            </w:rPr>
            <w:t xml:space="preserve"> 2026,</w:t>
          </w:r>
          <w:r w:rsidRPr="00D435BC">
            <w:rPr>
              <w:rFonts w:asciiTheme="majorBidi" w:hAnsiTheme="majorBidi" w:cstheme="majorBidi"/>
              <w:color w:val="auto"/>
              <w:sz w:val="20"/>
              <w:szCs w:val="20"/>
            </w:rPr>
            <w:t xml:space="preserve"> PP: xxx-xxx</w:t>
          </w:r>
        </w:p>
        <w:p w14:paraId="78FC2583" w14:textId="77777777" w:rsidR="005B2AC2" w:rsidRPr="0018753F" w:rsidRDefault="005B2AC2" w:rsidP="005B2AC2">
          <w:pPr>
            <w:pStyle w:val="TSPheadertsplogo"/>
            <w:jc w:val="left"/>
            <w:rPr>
              <w:rFonts w:asciiTheme="majorBidi" w:hAnsiTheme="majorBidi" w:cstheme="majorBidi"/>
              <w:color w:val="auto"/>
            </w:rPr>
          </w:pPr>
          <w:r w:rsidRPr="00D435BC">
            <w:rPr>
              <w:rFonts w:asciiTheme="majorBidi" w:hAnsiTheme="majorBidi" w:cstheme="majorBidi"/>
              <w:color w:val="auto"/>
              <w:sz w:val="20"/>
              <w:szCs w:val="20"/>
            </w:rPr>
            <w:t>DOI:</w:t>
          </w:r>
        </w:p>
      </w:tc>
    </w:tr>
    <w:tr w:rsidR="005B2AC2" w:rsidRPr="00262136" w14:paraId="26A28C80" w14:textId="77777777" w:rsidTr="005B2AC2">
      <w:trPr>
        <w:cantSplit/>
        <w:trHeight w:val="232"/>
      </w:trPr>
      <w:tc>
        <w:tcPr>
          <w:tcW w:w="8931" w:type="dxa"/>
          <w:gridSpan w:val="3"/>
          <w:tcBorders>
            <w:bottom w:val="single" w:sz="18" w:space="0" w:color="auto"/>
          </w:tcBorders>
          <w:vAlign w:val="center"/>
        </w:tcPr>
        <w:p w14:paraId="0E106941" w14:textId="77777777" w:rsidR="005B2AC2" w:rsidRPr="00674EC2" w:rsidRDefault="005B2AC2" w:rsidP="005B2AC2">
          <w:pPr>
            <w:pStyle w:val="TSPheadertsplogo"/>
            <w:spacing w:line="360" w:lineRule="auto"/>
            <w:jc w:val="center"/>
            <w:rPr>
              <w:rFonts w:asciiTheme="majorBidi" w:hAnsiTheme="majorBidi" w:cstheme="majorBidi"/>
              <w:color w:val="auto"/>
              <w:sz w:val="20"/>
              <w:szCs w:val="20"/>
            </w:rPr>
          </w:pPr>
          <w:r w:rsidRPr="00674EC2">
            <w:rPr>
              <w:rFonts w:asciiTheme="majorBidi" w:eastAsia="Calibri" w:hAnsiTheme="majorBidi" w:cstheme="majorBidi"/>
              <w:sz w:val="20"/>
              <w:szCs w:val="20"/>
              <w:lang w:bidi="ar-EG"/>
            </w:rPr>
            <w:t>https://bjhs.journals.ekb.eg</w:t>
          </w:r>
        </w:p>
      </w:tc>
    </w:tr>
  </w:tbl>
  <w:p w14:paraId="3A8B799C" w14:textId="56D5AC80" w:rsidR="003A6526" w:rsidRPr="005B2AC2" w:rsidRDefault="003A6526" w:rsidP="005B2AC2">
    <w:pPr>
      <w:pStyle w:val="Header"/>
      <w:pBdr>
        <w:bottom w:val="none" w:sz="0" w:space="0" w:color="auto"/>
      </w:pBdr>
      <w:spacing w:line="240" w:lineRule="auto"/>
      <w:rPr>
        <w:sz w:val="4"/>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6567761"/>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0000002"/>
    <w:multiLevelType w:val="multilevel"/>
    <w:tmpl w:val="56567761"/>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0000003"/>
    <w:multiLevelType w:val="multilevel"/>
    <w:tmpl w:val="9D1CAC36"/>
    <w:lvl w:ilvl="0">
      <w:start w:val="6"/>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3FA488A"/>
    <w:multiLevelType w:val="hybridMultilevel"/>
    <w:tmpl w:val="253C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42C3F"/>
    <w:multiLevelType w:val="multilevel"/>
    <w:tmpl w:val="44AB26C9"/>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AB4018"/>
    <w:multiLevelType w:val="hybridMultilevel"/>
    <w:tmpl w:val="2C42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468F5"/>
    <w:multiLevelType w:val="hybridMultilevel"/>
    <w:tmpl w:val="CC4E56EA"/>
    <w:lvl w:ilvl="0" w:tplc="E264CA32">
      <w:start w:val="1"/>
      <w:numFmt w:val="bullet"/>
      <w:lvlRestart w:val="0"/>
      <w:pStyle w:val="TSP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2085B"/>
    <w:multiLevelType w:val="hybridMultilevel"/>
    <w:tmpl w:val="CB98231C"/>
    <w:lvl w:ilvl="0" w:tplc="664029F2">
      <w:start w:val="1"/>
      <w:numFmt w:val="decimal"/>
      <w:lvlRestart w:val="0"/>
      <w:pStyle w:val="TSP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C0BC1"/>
    <w:multiLevelType w:val="hybridMultilevel"/>
    <w:tmpl w:val="E072FC64"/>
    <w:lvl w:ilvl="0" w:tplc="F5A2FEB4">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491447"/>
    <w:multiLevelType w:val="hybridMultilevel"/>
    <w:tmpl w:val="2C701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040B39"/>
    <w:multiLevelType w:val="hybridMultilevel"/>
    <w:tmpl w:val="59403E28"/>
    <w:lvl w:ilvl="0" w:tplc="39A83FBE">
      <w:start w:val="1"/>
      <w:numFmt w:val="decimal"/>
      <w:lvlText w:val="%1."/>
      <w:lvlJc w:val="left"/>
      <w:pPr>
        <w:ind w:left="16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2742C"/>
    <w:multiLevelType w:val="hybridMultilevel"/>
    <w:tmpl w:val="0F9EA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30B8D"/>
    <w:multiLevelType w:val="hybridMultilevel"/>
    <w:tmpl w:val="C9F8D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343B56"/>
    <w:multiLevelType w:val="hybridMultilevel"/>
    <w:tmpl w:val="2FD2ED0E"/>
    <w:lvl w:ilvl="0" w:tplc="39A83FBE">
      <w:start w:val="1"/>
      <w:numFmt w:val="decimal"/>
      <w:lvlText w:val="%1."/>
      <w:lvlJc w:val="left"/>
      <w:pPr>
        <w:ind w:left="16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542CA2"/>
    <w:multiLevelType w:val="multilevel"/>
    <w:tmpl w:val="E8A0E074"/>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12E46"/>
    <w:multiLevelType w:val="hybridMultilevel"/>
    <w:tmpl w:val="88C2FAD8"/>
    <w:lvl w:ilvl="0" w:tplc="5C06B1C6">
      <w:start w:val="1"/>
      <w:numFmt w:val="decimal"/>
      <w:pStyle w:val="TSP71References"/>
      <w:lvlText w:val="%1."/>
      <w:lvlJc w:val="left"/>
      <w:pPr>
        <w:ind w:left="360" w:hanging="360"/>
      </w:pPr>
      <w:rPr>
        <w:rFonts w:hint="eastAsia"/>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983EFF"/>
    <w:multiLevelType w:val="hybridMultilevel"/>
    <w:tmpl w:val="0AC22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311A3B"/>
    <w:multiLevelType w:val="hybridMultilevel"/>
    <w:tmpl w:val="9EF4A612"/>
    <w:lvl w:ilvl="0" w:tplc="BED0D818">
      <w:start w:val="1"/>
      <w:numFmt w:val="decimal"/>
      <w:lvlRestart w:val="0"/>
      <w:pStyle w:val="TSP37itemize"/>
      <w:lvlText w:val="%1."/>
      <w:lvlJc w:val="left"/>
      <w:rPr>
        <w:rFonts w:hint="eastAsi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1322584270">
    <w:abstractNumId w:val="17"/>
  </w:num>
  <w:num w:numId="2" w16cid:durableId="1144857086">
    <w:abstractNumId w:val="6"/>
  </w:num>
  <w:num w:numId="3" w16cid:durableId="1027753374">
    <w:abstractNumId w:val="7"/>
  </w:num>
  <w:num w:numId="4" w16cid:durableId="1558079402">
    <w:abstractNumId w:val="15"/>
  </w:num>
  <w:num w:numId="5" w16cid:durableId="547184668">
    <w:abstractNumId w:val="8"/>
  </w:num>
  <w:num w:numId="6" w16cid:durableId="1207716526">
    <w:abstractNumId w:val="13"/>
  </w:num>
  <w:num w:numId="7" w16cid:durableId="755639091">
    <w:abstractNumId w:val="10"/>
  </w:num>
  <w:num w:numId="8" w16cid:durableId="207186483">
    <w:abstractNumId w:val="12"/>
  </w:num>
  <w:num w:numId="9" w16cid:durableId="2126263897">
    <w:abstractNumId w:val="11"/>
  </w:num>
  <w:num w:numId="10" w16cid:durableId="634876278">
    <w:abstractNumId w:val="9"/>
  </w:num>
  <w:num w:numId="11" w16cid:durableId="165052247">
    <w:abstractNumId w:val="5"/>
  </w:num>
  <w:num w:numId="12" w16cid:durableId="280454134">
    <w:abstractNumId w:val="14"/>
  </w:num>
  <w:num w:numId="13" w16cid:durableId="454257285">
    <w:abstractNumId w:val="16"/>
  </w:num>
  <w:num w:numId="14" w16cid:durableId="984820556">
    <w:abstractNumId w:val="3"/>
  </w:num>
  <w:num w:numId="15" w16cid:durableId="123350464">
    <w:abstractNumId w:val="4"/>
  </w:num>
  <w:num w:numId="16" w16cid:durableId="1547718787">
    <w:abstractNumId w:val="0"/>
  </w:num>
  <w:num w:numId="17" w16cid:durableId="2123067636">
    <w:abstractNumId w:val="1"/>
  </w:num>
  <w:num w:numId="18" w16cid:durableId="42041697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NDQ0NzeyMLE0NTFX0lEKTi0uzszPAykwqQUAAJRemSwAAAA="/>
  </w:docVars>
  <w:rsids>
    <w:rsidRoot w:val="00751E09"/>
    <w:rsid w:val="00007AE0"/>
    <w:rsid w:val="00011B1A"/>
    <w:rsid w:val="000128E5"/>
    <w:rsid w:val="00026414"/>
    <w:rsid w:val="000348D8"/>
    <w:rsid w:val="00035FC3"/>
    <w:rsid w:val="00042AF8"/>
    <w:rsid w:val="0004400E"/>
    <w:rsid w:val="00044BC6"/>
    <w:rsid w:val="00044C0A"/>
    <w:rsid w:val="0004721A"/>
    <w:rsid w:val="00053EBF"/>
    <w:rsid w:val="00066035"/>
    <w:rsid w:val="00074D05"/>
    <w:rsid w:val="000827C2"/>
    <w:rsid w:val="000852B0"/>
    <w:rsid w:val="0009213F"/>
    <w:rsid w:val="000A0F93"/>
    <w:rsid w:val="000B1F19"/>
    <w:rsid w:val="000B5171"/>
    <w:rsid w:val="000B74CE"/>
    <w:rsid w:val="000C151B"/>
    <w:rsid w:val="000C2465"/>
    <w:rsid w:val="000C504E"/>
    <w:rsid w:val="000C53B9"/>
    <w:rsid w:val="000D1C00"/>
    <w:rsid w:val="000D7535"/>
    <w:rsid w:val="000F74CC"/>
    <w:rsid w:val="00100524"/>
    <w:rsid w:val="00115212"/>
    <w:rsid w:val="00120C0D"/>
    <w:rsid w:val="00123A57"/>
    <w:rsid w:val="001266E5"/>
    <w:rsid w:val="00127184"/>
    <w:rsid w:val="00136D85"/>
    <w:rsid w:val="00144467"/>
    <w:rsid w:val="0015585E"/>
    <w:rsid w:val="00157404"/>
    <w:rsid w:val="0016006D"/>
    <w:rsid w:val="00167105"/>
    <w:rsid w:val="00191933"/>
    <w:rsid w:val="001933FC"/>
    <w:rsid w:val="001A0192"/>
    <w:rsid w:val="001A1E76"/>
    <w:rsid w:val="001B1B3F"/>
    <w:rsid w:val="001B7B84"/>
    <w:rsid w:val="001C75BF"/>
    <w:rsid w:val="001D349C"/>
    <w:rsid w:val="001D4D23"/>
    <w:rsid w:val="001E1794"/>
    <w:rsid w:val="001E2AEB"/>
    <w:rsid w:val="001E4A07"/>
    <w:rsid w:val="001E4FA9"/>
    <w:rsid w:val="0020081E"/>
    <w:rsid w:val="00206E80"/>
    <w:rsid w:val="00211AA7"/>
    <w:rsid w:val="00211F69"/>
    <w:rsid w:val="0021217E"/>
    <w:rsid w:val="002223FC"/>
    <w:rsid w:val="00222904"/>
    <w:rsid w:val="00240486"/>
    <w:rsid w:val="002432B5"/>
    <w:rsid w:val="00262136"/>
    <w:rsid w:val="0027223F"/>
    <w:rsid w:val="00272973"/>
    <w:rsid w:val="002915FF"/>
    <w:rsid w:val="002946D9"/>
    <w:rsid w:val="002D368C"/>
    <w:rsid w:val="002D6A1E"/>
    <w:rsid w:val="002E255F"/>
    <w:rsid w:val="002F4A79"/>
    <w:rsid w:val="00303FE6"/>
    <w:rsid w:val="003040E0"/>
    <w:rsid w:val="00307572"/>
    <w:rsid w:val="00324292"/>
    <w:rsid w:val="00326141"/>
    <w:rsid w:val="00330316"/>
    <w:rsid w:val="00330846"/>
    <w:rsid w:val="00331431"/>
    <w:rsid w:val="003405D1"/>
    <w:rsid w:val="003473C6"/>
    <w:rsid w:val="003539E4"/>
    <w:rsid w:val="00357E10"/>
    <w:rsid w:val="00364C29"/>
    <w:rsid w:val="00370EC8"/>
    <w:rsid w:val="0037766B"/>
    <w:rsid w:val="00377F4F"/>
    <w:rsid w:val="003817A5"/>
    <w:rsid w:val="0038794D"/>
    <w:rsid w:val="00397AC9"/>
    <w:rsid w:val="003A15E9"/>
    <w:rsid w:val="003A6526"/>
    <w:rsid w:val="003A791E"/>
    <w:rsid w:val="003B7C96"/>
    <w:rsid w:val="003C241C"/>
    <w:rsid w:val="003D3232"/>
    <w:rsid w:val="003D7079"/>
    <w:rsid w:val="003E012D"/>
    <w:rsid w:val="003E7F2A"/>
    <w:rsid w:val="003F0E95"/>
    <w:rsid w:val="003F1497"/>
    <w:rsid w:val="003F49FF"/>
    <w:rsid w:val="00401D30"/>
    <w:rsid w:val="0041581F"/>
    <w:rsid w:val="0042484A"/>
    <w:rsid w:val="00425800"/>
    <w:rsid w:val="00425DAF"/>
    <w:rsid w:val="004340C2"/>
    <w:rsid w:val="00440CBA"/>
    <w:rsid w:val="00443AAF"/>
    <w:rsid w:val="004504C9"/>
    <w:rsid w:val="004505CF"/>
    <w:rsid w:val="004669B4"/>
    <w:rsid w:val="0046725B"/>
    <w:rsid w:val="00471F5A"/>
    <w:rsid w:val="00475043"/>
    <w:rsid w:val="004A046F"/>
    <w:rsid w:val="004A346F"/>
    <w:rsid w:val="004D3B65"/>
    <w:rsid w:val="004F2AF0"/>
    <w:rsid w:val="00501D0F"/>
    <w:rsid w:val="00506BC0"/>
    <w:rsid w:val="0051540B"/>
    <w:rsid w:val="0053256F"/>
    <w:rsid w:val="005332CC"/>
    <w:rsid w:val="005429B5"/>
    <w:rsid w:val="00557B4B"/>
    <w:rsid w:val="00562123"/>
    <w:rsid w:val="005664C6"/>
    <w:rsid w:val="00570D85"/>
    <w:rsid w:val="00587784"/>
    <w:rsid w:val="005A6A67"/>
    <w:rsid w:val="005B2AC2"/>
    <w:rsid w:val="005B6005"/>
    <w:rsid w:val="005B7792"/>
    <w:rsid w:val="005B7D8A"/>
    <w:rsid w:val="005C5DE8"/>
    <w:rsid w:val="00605718"/>
    <w:rsid w:val="00606DEF"/>
    <w:rsid w:val="006205B7"/>
    <w:rsid w:val="006205C4"/>
    <w:rsid w:val="00636FF6"/>
    <w:rsid w:val="00640712"/>
    <w:rsid w:val="00644710"/>
    <w:rsid w:val="00645D18"/>
    <w:rsid w:val="00646BFC"/>
    <w:rsid w:val="00653AA5"/>
    <w:rsid w:val="0065560B"/>
    <w:rsid w:val="00655F69"/>
    <w:rsid w:val="00666C02"/>
    <w:rsid w:val="00673B6B"/>
    <w:rsid w:val="00674EC2"/>
    <w:rsid w:val="0068381A"/>
    <w:rsid w:val="00686D0C"/>
    <w:rsid w:val="00691777"/>
    <w:rsid w:val="00692393"/>
    <w:rsid w:val="006945F7"/>
    <w:rsid w:val="00694C2B"/>
    <w:rsid w:val="006A5259"/>
    <w:rsid w:val="006A74F9"/>
    <w:rsid w:val="006A7959"/>
    <w:rsid w:val="006A7D0D"/>
    <w:rsid w:val="006C6DB8"/>
    <w:rsid w:val="006D7D99"/>
    <w:rsid w:val="006E1066"/>
    <w:rsid w:val="006E63FE"/>
    <w:rsid w:val="006F7353"/>
    <w:rsid w:val="006F797D"/>
    <w:rsid w:val="0071323C"/>
    <w:rsid w:val="00714B19"/>
    <w:rsid w:val="00722347"/>
    <w:rsid w:val="00724867"/>
    <w:rsid w:val="00734048"/>
    <w:rsid w:val="00744F06"/>
    <w:rsid w:val="00745CCF"/>
    <w:rsid w:val="007471D3"/>
    <w:rsid w:val="00750361"/>
    <w:rsid w:val="00751E09"/>
    <w:rsid w:val="00752006"/>
    <w:rsid w:val="00762525"/>
    <w:rsid w:val="007648D8"/>
    <w:rsid w:val="00776E78"/>
    <w:rsid w:val="00790A85"/>
    <w:rsid w:val="00792DC7"/>
    <w:rsid w:val="00793629"/>
    <w:rsid w:val="00797AB1"/>
    <w:rsid w:val="007C021F"/>
    <w:rsid w:val="007D0ABE"/>
    <w:rsid w:val="007D23D7"/>
    <w:rsid w:val="007D3EBF"/>
    <w:rsid w:val="007F1339"/>
    <w:rsid w:val="007F58BF"/>
    <w:rsid w:val="007F726C"/>
    <w:rsid w:val="00804595"/>
    <w:rsid w:val="008145DC"/>
    <w:rsid w:val="00814FF4"/>
    <w:rsid w:val="00815D1E"/>
    <w:rsid w:val="0082500C"/>
    <w:rsid w:val="00843AAF"/>
    <w:rsid w:val="008474ED"/>
    <w:rsid w:val="00862B31"/>
    <w:rsid w:val="008669FB"/>
    <w:rsid w:val="008716D6"/>
    <w:rsid w:val="00893505"/>
    <w:rsid w:val="008A3D4D"/>
    <w:rsid w:val="008B06E4"/>
    <w:rsid w:val="008B6A2E"/>
    <w:rsid w:val="008C1897"/>
    <w:rsid w:val="008C59C8"/>
    <w:rsid w:val="008D06E4"/>
    <w:rsid w:val="008D5F24"/>
    <w:rsid w:val="008D62D4"/>
    <w:rsid w:val="008D69AF"/>
    <w:rsid w:val="008F2594"/>
    <w:rsid w:val="009025EE"/>
    <w:rsid w:val="00911F22"/>
    <w:rsid w:val="009161FF"/>
    <w:rsid w:val="00924A29"/>
    <w:rsid w:val="009412CB"/>
    <w:rsid w:val="00943208"/>
    <w:rsid w:val="00951142"/>
    <w:rsid w:val="0097263B"/>
    <w:rsid w:val="009850B4"/>
    <w:rsid w:val="00993114"/>
    <w:rsid w:val="00993C64"/>
    <w:rsid w:val="009A05AF"/>
    <w:rsid w:val="009A707C"/>
    <w:rsid w:val="009A7262"/>
    <w:rsid w:val="009B54F4"/>
    <w:rsid w:val="009B551E"/>
    <w:rsid w:val="009C1F04"/>
    <w:rsid w:val="009D7A52"/>
    <w:rsid w:val="009F5C65"/>
    <w:rsid w:val="009F70E6"/>
    <w:rsid w:val="00A01C33"/>
    <w:rsid w:val="00A07C17"/>
    <w:rsid w:val="00A135DA"/>
    <w:rsid w:val="00A15FF4"/>
    <w:rsid w:val="00A1712D"/>
    <w:rsid w:val="00A24869"/>
    <w:rsid w:val="00A5062B"/>
    <w:rsid w:val="00A563F4"/>
    <w:rsid w:val="00A56FF8"/>
    <w:rsid w:val="00A62565"/>
    <w:rsid w:val="00A63B49"/>
    <w:rsid w:val="00A65FB0"/>
    <w:rsid w:val="00A70C73"/>
    <w:rsid w:val="00A77E61"/>
    <w:rsid w:val="00A8104C"/>
    <w:rsid w:val="00A852BC"/>
    <w:rsid w:val="00A94A78"/>
    <w:rsid w:val="00AA03F5"/>
    <w:rsid w:val="00AA1BD0"/>
    <w:rsid w:val="00AA7458"/>
    <w:rsid w:val="00AB5AEE"/>
    <w:rsid w:val="00AB636E"/>
    <w:rsid w:val="00AC0491"/>
    <w:rsid w:val="00AD3F77"/>
    <w:rsid w:val="00AD4C85"/>
    <w:rsid w:val="00AD7138"/>
    <w:rsid w:val="00AD77C4"/>
    <w:rsid w:val="00AD7B01"/>
    <w:rsid w:val="00AF78DE"/>
    <w:rsid w:val="00B02431"/>
    <w:rsid w:val="00B05206"/>
    <w:rsid w:val="00B06860"/>
    <w:rsid w:val="00B22E26"/>
    <w:rsid w:val="00B37458"/>
    <w:rsid w:val="00B377C4"/>
    <w:rsid w:val="00B46F24"/>
    <w:rsid w:val="00B47634"/>
    <w:rsid w:val="00B52CCE"/>
    <w:rsid w:val="00B60928"/>
    <w:rsid w:val="00B622F2"/>
    <w:rsid w:val="00B679E4"/>
    <w:rsid w:val="00B71516"/>
    <w:rsid w:val="00B718C5"/>
    <w:rsid w:val="00B72696"/>
    <w:rsid w:val="00B75C9A"/>
    <w:rsid w:val="00B93109"/>
    <w:rsid w:val="00B94D10"/>
    <w:rsid w:val="00BA586B"/>
    <w:rsid w:val="00BC74C5"/>
    <w:rsid w:val="00BD0D11"/>
    <w:rsid w:val="00BD4421"/>
    <w:rsid w:val="00BE2474"/>
    <w:rsid w:val="00BF28B4"/>
    <w:rsid w:val="00C03FCF"/>
    <w:rsid w:val="00C12A22"/>
    <w:rsid w:val="00C16DD7"/>
    <w:rsid w:val="00C2375A"/>
    <w:rsid w:val="00C34A0D"/>
    <w:rsid w:val="00C34E4B"/>
    <w:rsid w:val="00C41358"/>
    <w:rsid w:val="00C608D5"/>
    <w:rsid w:val="00C77A35"/>
    <w:rsid w:val="00C818EC"/>
    <w:rsid w:val="00C82CEE"/>
    <w:rsid w:val="00C86F84"/>
    <w:rsid w:val="00CB73A8"/>
    <w:rsid w:val="00CC7AAB"/>
    <w:rsid w:val="00CD54D3"/>
    <w:rsid w:val="00CD60B8"/>
    <w:rsid w:val="00CD739B"/>
    <w:rsid w:val="00CE31CE"/>
    <w:rsid w:val="00CE4114"/>
    <w:rsid w:val="00CE4479"/>
    <w:rsid w:val="00CF5023"/>
    <w:rsid w:val="00D06381"/>
    <w:rsid w:val="00D15FD7"/>
    <w:rsid w:val="00D20D10"/>
    <w:rsid w:val="00D328A0"/>
    <w:rsid w:val="00D418FF"/>
    <w:rsid w:val="00D435BC"/>
    <w:rsid w:val="00D47823"/>
    <w:rsid w:val="00D5407A"/>
    <w:rsid w:val="00D6346F"/>
    <w:rsid w:val="00D64292"/>
    <w:rsid w:val="00D75DED"/>
    <w:rsid w:val="00D80CBD"/>
    <w:rsid w:val="00D83D11"/>
    <w:rsid w:val="00D86142"/>
    <w:rsid w:val="00D9261D"/>
    <w:rsid w:val="00DA071E"/>
    <w:rsid w:val="00DA49C3"/>
    <w:rsid w:val="00DA5748"/>
    <w:rsid w:val="00DA6AE2"/>
    <w:rsid w:val="00DA7729"/>
    <w:rsid w:val="00DD62EF"/>
    <w:rsid w:val="00DE07DE"/>
    <w:rsid w:val="00DE228F"/>
    <w:rsid w:val="00E026F5"/>
    <w:rsid w:val="00E03F44"/>
    <w:rsid w:val="00E04721"/>
    <w:rsid w:val="00E058A8"/>
    <w:rsid w:val="00E14912"/>
    <w:rsid w:val="00E15A27"/>
    <w:rsid w:val="00E17581"/>
    <w:rsid w:val="00E20009"/>
    <w:rsid w:val="00E257FA"/>
    <w:rsid w:val="00E26A84"/>
    <w:rsid w:val="00E445B7"/>
    <w:rsid w:val="00E52E54"/>
    <w:rsid w:val="00E53385"/>
    <w:rsid w:val="00E55921"/>
    <w:rsid w:val="00E81963"/>
    <w:rsid w:val="00E82717"/>
    <w:rsid w:val="00E82DCF"/>
    <w:rsid w:val="00E8311E"/>
    <w:rsid w:val="00E90ECE"/>
    <w:rsid w:val="00E939D4"/>
    <w:rsid w:val="00E972A4"/>
    <w:rsid w:val="00EA591D"/>
    <w:rsid w:val="00EA6902"/>
    <w:rsid w:val="00EA77C5"/>
    <w:rsid w:val="00EC23EC"/>
    <w:rsid w:val="00ED2E2A"/>
    <w:rsid w:val="00ED4753"/>
    <w:rsid w:val="00EE3F08"/>
    <w:rsid w:val="00F05B9C"/>
    <w:rsid w:val="00F1193E"/>
    <w:rsid w:val="00F1450C"/>
    <w:rsid w:val="00F14FB5"/>
    <w:rsid w:val="00F422A9"/>
    <w:rsid w:val="00F42807"/>
    <w:rsid w:val="00F54534"/>
    <w:rsid w:val="00F54E21"/>
    <w:rsid w:val="00F57FA0"/>
    <w:rsid w:val="00F654F2"/>
    <w:rsid w:val="00F75EEB"/>
    <w:rsid w:val="00F77287"/>
    <w:rsid w:val="00F8065D"/>
    <w:rsid w:val="00F879E4"/>
    <w:rsid w:val="00F91974"/>
    <w:rsid w:val="00F91C19"/>
    <w:rsid w:val="00FC3455"/>
    <w:rsid w:val="00FC39AC"/>
    <w:rsid w:val="00FC7435"/>
    <w:rsid w:val="00FD0EE0"/>
    <w:rsid w:val="00FD698E"/>
    <w:rsid w:val="00FE4355"/>
    <w:rsid w:val="00FF5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AB13BB"/>
  <w15:docId w15:val="{8CEB9850-EE85-452B-8343-D375EEE1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316"/>
    <w:pPr>
      <w:spacing w:line="260" w:lineRule="atLeast"/>
      <w:jc w:val="both"/>
    </w:pPr>
    <w:rPr>
      <w:rFonts w:ascii="Minion Pro" w:hAnsi="Minion Pro"/>
      <w:noProof/>
      <w:color w:val="000000"/>
    </w:rPr>
  </w:style>
  <w:style w:type="paragraph" w:styleId="Heading1">
    <w:name w:val="heading 1"/>
    <w:basedOn w:val="Normal"/>
    <w:next w:val="Normal"/>
    <w:link w:val="Heading1Char"/>
    <w:uiPriority w:val="9"/>
    <w:qFormat/>
    <w:rsid w:val="00397A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97AC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587784"/>
    <w:pPr>
      <w:spacing w:before="100" w:beforeAutospacing="1" w:after="100" w:afterAutospacing="1" w:line="240" w:lineRule="auto"/>
      <w:jc w:val="left"/>
      <w:outlineLvl w:val="2"/>
    </w:pPr>
    <w:rPr>
      <w:rFonts w:ascii="Times New Roman" w:eastAsia="Times New Roman" w:hAnsi="Times New Roman"/>
      <w:b/>
      <w:bCs/>
      <w:noProof w:val="0"/>
      <w:color w:val="auto"/>
      <w:sz w:val="27"/>
      <w:szCs w:val="2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SP11articletype">
    <w:name w:val="TSP_1.1_article_type"/>
    <w:next w:val="Normal"/>
    <w:qFormat/>
    <w:rsid w:val="000C53B9"/>
    <w:pPr>
      <w:adjustRightInd w:val="0"/>
      <w:snapToGrid w:val="0"/>
      <w:spacing w:before="240" w:line="240" w:lineRule="atLeast"/>
    </w:pPr>
    <w:rPr>
      <w:rFonts w:ascii="Minion Pro" w:eastAsia="Times New Roman" w:hAnsi="Minion Pro"/>
      <w:b/>
      <w:caps/>
      <w:snapToGrid w:val="0"/>
      <w:color w:val="000000"/>
      <w:sz w:val="18"/>
      <w:szCs w:val="22"/>
      <w:u w:val="single"/>
      <w:lang w:eastAsia="de-DE" w:bidi="en-US"/>
    </w:rPr>
  </w:style>
  <w:style w:type="paragraph" w:customStyle="1" w:styleId="TSP110doinum">
    <w:name w:val="TSP_1.10_doinum"/>
    <w:basedOn w:val="Normal"/>
    <w:qFormat/>
    <w:rsid w:val="005429B5"/>
    <w:pPr>
      <w:spacing w:after="240" w:line="60" w:lineRule="atLeast"/>
      <w:jc w:val="left"/>
    </w:pPr>
    <w:rPr>
      <w:rFonts w:eastAsiaTheme="minorEastAsia"/>
      <w:noProof w:val="0"/>
      <w:kern w:val="2"/>
      <w:sz w:val="14"/>
      <w14:ligatures w14:val="standardContextual"/>
    </w:rPr>
  </w:style>
  <w:style w:type="paragraph" w:customStyle="1" w:styleId="TSP12title">
    <w:name w:val="TSP_1.2_title"/>
    <w:next w:val="Normal"/>
    <w:qFormat/>
    <w:rsid w:val="005429B5"/>
    <w:pPr>
      <w:adjustRightInd w:val="0"/>
      <w:snapToGrid w:val="0"/>
      <w:spacing w:before="240" w:after="240" w:line="240" w:lineRule="atLeast"/>
    </w:pPr>
    <w:rPr>
      <w:rFonts w:ascii="Minion Pro" w:eastAsia="Times New Roman" w:hAnsi="Minion Pro"/>
      <w:b/>
      <w:snapToGrid w:val="0"/>
      <w:color w:val="000000"/>
      <w:sz w:val="28"/>
      <w:lang w:eastAsia="de-DE" w:bidi="en-US"/>
    </w:rPr>
  </w:style>
  <w:style w:type="paragraph" w:customStyle="1" w:styleId="TSP13authornames">
    <w:name w:val="TSP_1.3_authornames"/>
    <w:next w:val="Normal"/>
    <w:qFormat/>
    <w:rsid w:val="005429B5"/>
    <w:pPr>
      <w:adjustRightInd w:val="0"/>
      <w:snapToGrid w:val="0"/>
      <w:spacing w:before="240" w:after="240" w:line="240" w:lineRule="atLeast"/>
    </w:pPr>
    <w:rPr>
      <w:rFonts w:ascii="Minion Pro" w:eastAsia="Times New Roman" w:hAnsi="Minion Pro"/>
      <w:b/>
      <w:color w:val="000000"/>
      <w:sz w:val="22"/>
      <w:szCs w:val="22"/>
      <w:lang w:eastAsia="de-DE" w:bidi="en-US"/>
    </w:rPr>
  </w:style>
  <w:style w:type="paragraph" w:customStyle="1" w:styleId="TSP14history">
    <w:name w:val="TSP_1.4_history"/>
    <w:basedOn w:val="Normal"/>
    <w:next w:val="Normal"/>
    <w:autoRedefine/>
    <w:qFormat/>
    <w:rsid w:val="000C53B9"/>
    <w:pPr>
      <w:adjustRightInd w:val="0"/>
      <w:snapToGrid w:val="0"/>
      <w:spacing w:before="60" w:after="240" w:line="240" w:lineRule="atLeast"/>
      <w:jc w:val="left"/>
    </w:pPr>
    <w:rPr>
      <w:rFonts w:eastAsia="Times New Roman"/>
      <w:noProof w:val="0"/>
      <w:sz w:val="18"/>
      <w:lang w:eastAsia="de-DE" w:bidi="en-US"/>
    </w:rPr>
  </w:style>
  <w:style w:type="paragraph" w:customStyle="1" w:styleId="TSP15academiceditor">
    <w:name w:val="TSP_1.5_academic_editor"/>
    <w:qFormat/>
    <w:rsid w:val="006E63FE"/>
    <w:pPr>
      <w:adjustRightInd w:val="0"/>
      <w:snapToGrid w:val="0"/>
      <w:spacing w:before="120" w:after="120" w:line="240" w:lineRule="atLeast"/>
    </w:pPr>
    <w:rPr>
      <w:rFonts w:ascii="Minion Pro" w:eastAsia="Times New Roman" w:hAnsi="Minion Pro"/>
      <w:color w:val="000000"/>
      <w:sz w:val="18"/>
      <w:szCs w:val="22"/>
      <w:lang w:eastAsia="de-DE" w:bidi="en-US"/>
    </w:rPr>
  </w:style>
  <w:style w:type="paragraph" w:customStyle="1" w:styleId="TSP16affiliation">
    <w:name w:val="TSP_1.6_affiliation"/>
    <w:qFormat/>
    <w:rsid w:val="005429B5"/>
    <w:pPr>
      <w:adjustRightInd w:val="0"/>
      <w:snapToGrid w:val="0"/>
      <w:spacing w:line="240" w:lineRule="atLeast"/>
    </w:pPr>
    <w:rPr>
      <w:rFonts w:ascii="Minion Pro" w:eastAsia="Times New Roman" w:hAnsi="Minion Pro"/>
      <w:color w:val="000000"/>
      <w:sz w:val="18"/>
      <w:szCs w:val="18"/>
      <w:lang w:eastAsia="de-DE" w:bidi="en-US"/>
    </w:rPr>
  </w:style>
  <w:style w:type="paragraph" w:customStyle="1" w:styleId="TSP17abstract">
    <w:name w:val="TSP_1.7_abstract"/>
    <w:next w:val="Normal"/>
    <w:qFormat/>
    <w:rsid w:val="005429B5"/>
    <w:pPr>
      <w:adjustRightInd w:val="0"/>
      <w:snapToGrid w:val="0"/>
      <w:spacing w:before="240" w:after="240" w:line="240" w:lineRule="atLeast"/>
      <w:jc w:val="both"/>
    </w:pPr>
    <w:rPr>
      <w:rFonts w:ascii="Minion Pro" w:eastAsia="Times New Roman" w:hAnsi="Minion Pro"/>
      <w:color w:val="000000"/>
      <w:szCs w:val="22"/>
      <w:lang w:eastAsia="de-DE" w:bidi="en-US"/>
    </w:rPr>
  </w:style>
  <w:style w:type="paragraph" w:styleId="Footer">
    <w:name w:val="footer"/>
    <w:basedOn w:val="Normal"/>
    <w:link w:val="FooterChar"/>
    <w:uiPriority w:val="99"/>
    <w:qFormat/>
    <w:rsid w:val="00C34E4B"/>
    <w:pPr>
      <w:tabs>
        <w:tab w:val="center" w:pos="4153"/>
        <w:tab w:val="right" w:pos="8306"/>
      </w:tabs>
      <w:snapToGrid w:val="0"/>
      <w:spacing w:line="240" w:lineRule="atLeast"/>
      <w:jc w:val="left"/>
    </w:pPr>
    <w:rPr>
      <w:szCs w:val="18"/>
    </w:rPr>
  </w:style>
  <w:style w:type="character" w:customStyle="1" w:styleId="FooterChar">
    <w:name w:val="Footer Char"/>
    <w:link w:val="Footer"/>
    <w:uiPriority w:val="99"/>
    <w:qFormat/>
    <w:rsid w:val="00C34E4B"/>
    <w:rPr>
      <w:rFonts w:ascii="Minion Pro" w:hAnsi="Minion Pro"/>
      <w:noProof/>
      <w:color w:val="000000"/>
      <w:szCs w:val="18"/>
    </w:rPr>
  </w:style>
  <w:style w:type="paragraph" w:styleId="Header">
    <w:name w:val="header"/>
    <w:basedOn w:val="Normal"/>
    <w:link w:val="HeaderChar"/>
    <w:uiPriority w:val="99"/>
    <w:qFormat/>
    <w:rsid w:val="00397AC9"/>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qFormat/>
    <w:rsid w:val="00397AC9"/>
    <w:rPr>
      <w:rFonts w:ascii="Minion Pro" w:hAnsi="Minion Pro"/>
      <w:noProof/>
      <w:color w:val="000000"/>
      <w:szCs w:val="18"/>
    </w:rPr>
  </w:style>
  <w:style w:type="paragraph" w:customStyle="1" w:styleId="TSP18keywords">
    <w:name w:val="TSP_1.8_keywords"/>
    <w:next w:val="Normal"/>
    <w:qFormat/>
    <w:rsid w:val="006E63FE"/>
    <w:pPr>
      <w:adjustRightInd w:val="0"/>
      <w:snapToGrid w:val="0"/>
      <w:spacing w:before="240" w:line="240" w:lineRule="atLeast"/>
      <w:jc w:val="both"/>
    </w:pPr>
    <w:rPr>
      <w:rFonts w:ascii="Minion Pro" w:eastAsia="Times New Roman" w:hAnsi="Minion Pro"/>
      <w:snapToGrid w:val="0"/>
      <w:color w:val="000000"/>
      <w:szCs w:val="22"/>
      <w:lang w:eastAsia="de-DE" w:bidi="en-US"/>
    </w:rPr>
  </w:style>
  <w:style w:type="paragraph" w:customStyle="1" w:styleId="TSP19classification">
    <w:name w:val="TSP_1.9_classification"/>
    <w:qFormat/>
    <w:rsid w:val="006E63FE"/>
    <w:pPr>
      <w:spacing w:before="240" w:line="240" w:lineRule="atLeast"/>
      <w:jc w:val="both"/>
    </w:pPr>
    <w:rPr>
      <w:rFonts w:ascii="Minion Pro" w:eastAsia="Times New Roman" w:hAnsi="Minion Pro"/>
      <w:b/>
      <w:color w:val="000000"/>
      <w:szCs w:val="22"/>
      <w:lang w:eastAsia="de-DE" w:bidi="en-US"/>
    </w:rPr>
  </w:style>
  <w:style w:type="paragraph" w:customStyle="1" w:styleId="TSP19line">
    <w:name w:val="TSP_1.9_line"/>
    <w:qFormat/>
    <w:rsid w:val="006E63FE"/>
    <w:pPr>
      <w:pBdr>
        <w:bottom w:val="single" w:sz="6" w:space="1" w:color="auto"/>
      </w:pBdr>
      <w:adjustRightInd w:val="0"/>
      <w:snapToGrid w:val="0"/>
      <w:spacing w:after="480" w:line="240" w:lineRule="atLeast"/>
      <w:jc w:val="both"/>
    </w:pPr>
    <w:rPr>
      <w:rFonts w:ascii="Minion Pro" w:eastAsia="Times New Roman" w:hAnsi="Minion Pro" w:cs="Cordia New"/>
      <w:color w:val="000000"/>
      <w:szCs w:val="24"/>
      <w:lang w:eastAsia="de-DE" w:bidi="en-US"/>
    </w:rPr>
  </w:style>
  <w:style w:type="paragraph" w:customStyle="1" w:styleId="TSP21heading1">
    <w:name w:val="TSP_2.1_heading1"/>
    <w:qFormat/>
    <w:rsid w:val="000C53B9"/>
    <w:pPr>
      <w:adjustRightInd w:val="0"/>
      <w:snapToGrid w:val="0"/>
      <w:spacing w:before="240" w:after="60" w:line="240" w:lineRule="atLeast"/>
      <w:outlineLvl w:val="0"/>
    </w:pPr>
    <w:rPr>
      <w:rFonts w:ascii="Minion Pro" w:eastAsia="Times New Roman" w:hAnsi="Minion Pro"/>
      <w:b/>
      <w:snapToGrid w:val="0"/>
      <w:color w:val="000000"/>
      <w:sz w:val="22"/>
      <w:szCs w:val="22"/>
      <w:lang w:eastAsia="de-DE" w:bidi="en-US"/>
    </w:rPr>
  </w:style>
  <w:style w:type="paragraph" w:customStyle="1" w:styleId="TSP22heading2">
    <w:name w:val="TSP_2.2_heading2"/>
    <w:qFormat/>
    <w:rsid w:val="005429B5"/>
    <w:pPr>
      <w:adjustRightInd w:val="0"/>
      <w:snapToGrid w:val="0"/>
      <w:spacing w:before="60" w:after="60" w:line="240" w:lineRule="atLeast"/>
      <w:outlineLvl w:val="1"/>
    </w:pPr>
    <w:rPr>
      <w:rFonts w:ascii="Minion Pro" w:eastAsia="Times New Roman" w:hAnsi="Minion Pro"/>
      <w:b/>
      <w:i/>
      <w:noProof/>
      <w:snapToGrid w:val="0"/>
      <w:color w:val="000000"/>
      <w:sz w:val="22"/>
      <w:szCs w:val="22"/>
      <w:lang w:eastAsia="de-DE" w:bidi="en-US"/>
    </w:rPr>
  </w:style>
  <w:style w:type="paragraph" w:customStyle="1" w:styleId="TSP23heading3">
    <w:name w:val="TSP_2.3_heading3"/>
    <w:qFormat/>
    <w:rsid w:val="000C53B9"/>
    <w:pPr>
      <w:adjustRightInd w:val="0"/>
      <w:snapToGrid w:val="0"/>
      <w:spacing w:before="60" w:after="60" w:line="240" w:lineRule="atLeast"/>
      <w:outlineLvl w:val="2"/>
    </w:pPr>
    <w:rPr>
      <w:rFonts w:ascii="Minion Pro" w:eastAsia="Times New Roman" w:hAnsi="Minion Pro"/>
      <w:i/>
      <w:snapToGrid w:val="0"/>
      <w:color w:val="000000"/>
      <w:sz w:val="22"/>
      <w:szCs w:val="22"/>
      <w:lang w:eastAsia="de-DE" w:bidi="en-US"/>
    </w:rPr>
  </w:style>
  <w:style w:type="paragraph" w:customStyle="1" w:styleId="TSP31text">
    <w:name w:val="TSP_3.1_text"/>
    <w:qFormat/>
    <w:rsid w:val="005429B5"/>
    <w:pPr>
      <w:adjustRightInd w:val="0"/>
      <w:snapToGrid w:val="0"/>
      <w:spacing w:after="60" w:line="240" w:lineRule="atLeast"/>
      <w:ind w:firstLine="425"/>
      <w:jc w:val="both"/>
    </w:pPr>
    <w:rPr>
      <w:rFonts w:ascii="Minion Pro" w:eastAsia="Times New Roman" w:hAnsi="Minion Pro"/>
      <w:snapToGrid w:val="0"/>
      <w:color w:val="000000"/>
      <w:sz w:val="22"/>
      <w:szCs w:val="22"/>
      <w:lang w:eastAsia="de-DE" w:bidi="en-US"/>
    </w:rPr>
  </w:style>
  <w:style w:type="paragraph" w:customStyle="1" w:styleId="TSP32textnoindent">
    <w:name w:val="TSP_3.2_text_no_indent"/>
    <w:basedOn w:val="TSP31text"/>
    <w:qFormat/>
    <w:rsid w:val="005429B5"/>
    <w:pPr>
      <w:ind w:firstLine="0"/>
    </w:pPr>
  </w:style>
  <w:style w:type="paragraph" w:customStyle="1" w:styleId="TSP33textspaceafter">
    <w:name w:val="TSP_3.3_text_space_after"/>
    <w:qFormat/>
    <w:rsid w:val="005429B5"/>
    <w:pPr>
      <w:adjustRightInd w:val="0"/>
      <w:snapToGrid w:val="0"/>
      <w:spacing w:after="240" w:line="240" w:lineRule="atLeast"/>
      <w:ind w:firstLine="425"/>
      <w:jc w:val="both"/>
    </w:pPr>
    <w:rPr>
      <w:rFonts w:ascii="Minion Pro" w:eastAsia="Times New Roman" w:hAnsi="Minion Pro"/>
      <w:snapToGrid w:val="0"/>
      <w:color w:val="000000"/>
      <w:sz w:val="22"/>
      <w:szCs w:val="22"/>
      <w:lang w:eastAsia="de-DE" w:bidi="en-US"/>
    </w:rPr>
  </w:style>
  <w:style w:type="paragraph" w:customStyle="1" w:styleId="TSP34textspacebefore">
    <w:name w:val="TSP_3.4_text_space_before"/>
    <w:qFormat/>
    <w:rsid w:val="00330316"/>
    <w:pPr>
      <w:adjustRightInd w:val="0"/>
      <w:snapToGrid w:val="0"/>
      <w:spacing w:before="240" w:line="240" w:lineRule="atLeast"/>
      <w:ind w:firstLine="425"/>
      <w:jc w:val="both"/>
    </w:pPr>
    <w:rPr>
      <w:rFonts w:ascii="Minion Pro" w:eastAsia="Times New Roman" w:hAnsi="Minion Pro"/>
      <w:snapToGrid w:val="0"/>
      <w:color w:val="000000"/>
      <w:sz w:val="22"/>
      <w:szCs w:val="22"/>
      <w:lang w:eastAsia="de-DE" w:bidi="en-US"/>
    </w:rPr>
  </w:style>
  <w:style w:type="paragraph" w:customStyle="1" w:styleId="TSP35textbeforelist">
    <w:name w:val="TSP_3.5_text_before_list"/>
    <w:qFormat/>
    <w:rsid w:val="00330316"/>
    <w:pPr>
      <w:adjustRightInd w:val="0"/>
      <w:snapToGrid w:val="0"/>
      <w:spacing w:after="60" w:line="240" w:lineRule="atLeast"/>
      <w:ind w:firstLine="425"/>
      <w:jc w:val="both"/>
    </w:pPr>
    <w:rPr>
      <w:rFonts w:ascii="Minion Pro" w:eastAsia="Times New Roman" w:hAnsi="Minion Pro"/>
      <w:snapToGrid w:val="0"/>
      <w:color w:val="000000"/>
      <w:sz w:val="22"/>
      <w:szCs w:val="22"/>
      <w:lang w:eastAsia="de-DE" w:bidi="en-US"/>
    </w:rPr>
  </w:style>
  <w:style w:type="paragraph" w:customStyle="1" w:styleId="TSP36textafterlist">
    <w:name w:val="TSP_3.6_text_after_list"/>
    <w:qFormat/>
    <w:rsid w:val="00330316"/>
    <w:pPr>
      <w:adjustRightInd w:val="0"/>
      <w:snapToGrid w:val="0"/>
      <w:spacing w:before="60" w:line="240" w:lineRule="atLeast"/>
      <w:ind w:firstLine="425"/>
      <w:jc w:val="both"/>
    </w:pPr>
    <w:rPr>
      <w:rFonts w:ascii="Minion Pro" w:eastAsia="Times New Roman" w:hAnsi="Minion Pro"/>
      <w:snapToGrid w:val="0"/>
      <w:color w:val="000000"/>
      <w:sz w:val="22"/>
      <w:szCs w:val="22"/>
      <w:lang w:eastAsia="de-DE" w:bidi="en-US"/>
    </w:rPr>
  </w:style>
  <w:style w:type="paragraph" w:customStyle="1" w:styleId="TSP37itemize">
    <w:name w:val="TSP_3.7_itemize"/>
    <w:qFormat/>
    <w:rsid w:val="005429B5"/>
    <w:pPr>
      <w:numPr>
        <w:numId w:val="1"/>
      </w:numPr>
      <w:adjustRightInd w:val="0"/>
      <w:snapToGrid w:val="0"/>
      <w:spacing w:line="228" w:lineRule="auto"/>
      <w:jc w:val="both"/>
    </w:pPr>
    <w:rPr>
      <w:rFonts w:ascii="Minion Pro" w:eastAsia="Times New Roman" w:hAnsi="Minion Pro"/>
      <w:color w:val="000000"/>
      <w:sz w:val="22"/>
      <w:szCs w:val="22"/>
      <w:lang w:eastAsia="de-DE" w:bidi="en-US"/>
    </w:rPr>
  </w:style>
  <w:style w:type="paragraph" w:customStyle="1" w:styleId="TSP38bullet">
    <w:name w:val="TSP_3.8_bullet"/>
    <w:qFormat/>
    <w:rsid w:val="005429B5"/>
    <w:pPr>
      <w:numPr>
        <w:numId w:val="2"/>
      </w:numPr>
      <w:adjustRightInd w:val="0"/>
      <w:snapToGrid w:val="0"/>
      <w:spacing w:line="228" w:lineRule="auto"/>
      <w:ind w:left="425"/>
      <w:jc w:val="both"/>
    </w:pPr>
    <w:rPr>
      <w:rFonts w:ascii="Minion Pro" w:eastAsia="Times New Roman" w:hAnsi="Minion Pro"/>
      <w:color w:val="000000"/>
      <w:sz w:val="22"/>
      <w:szCs w:val="22"/>
      <w:lang w:eastAsia="de-DE" w:bidi="en-US"/>
    </w:rPr>
  </w:style>
  <w:style w:type="paragraph" w:customStyle="1" w:styleId="TSP39equation">
    <w:name w:val="TSP_3.9_equation"/>
    <w:qFormat/>
    <w:rsid w:val="005429B5"/>
    <w:pPr>
      <w:adjustRightInd w:val="0"/>
      <w:snapToGrid w:val="0"/>
      <w:spacing w:before="120" w:after="120" w:line="240" w:lineRule="atLeast"/>
    </w:pPr>
    <w:rPr>
      <w:rFonts w:ascii="Minion Pro" w:eastAsia="Times New Roman" w:hAnsi="Minion Pro"/>
      <w:snapToGrid w:val="0"/>
      <w:color w:val="000000"/>
      <w:sz w:val="22"/>
      <w:szCs w:val="22"/>
      <w:lang w:eastAsia="de-DE" w:bidi="en-US"/>
    </w:rPr>
  </w:style>
  <w:style w:type="paragraph" w:customStyle="1" w:styleId="TSP3aequationnumber">
    <w:name w:val="TSP_3.a_equation_number"/>
    <w:qFormat/>
    <w:rsid w:val="00BD0D11"/>
    <w:pPr>
      <w:spacing w:before="120" w:after="120" w:line="240" w:lineRule="atLeast"/>
      <w:jc w:val="right"/>
    </w:pPr>
    <w:rPr>
      <w:rFonts w:ascii="Minion Pro" w:eastAsia="Times New Roman" w:hAnsi="Minion Pro"/>
      <w:snapToGrid w:val="0"/>
      <w:color w:val="000000"/>
      <w:sz w:val="22"/>
      <w:szCs w:val="22"/>
      <w:lang w:eastAsia="de-DE" w:bidi="en-US"/>
    </w:rPr>
  </w:style>
  <w:style w:type="paragraph" w:customStyle="1" w:styleId="TSP411onetablecaption">
    <w:name w:val="TSP_4.1.1_one_table_caption"/>
    <w:qFormat/>
    <w:rsid w:val="00BD0D11"/>
    <w:pPr>
      <w:adjustRightInd w:val="0"/>
      <w:snapToGrid w:val="0"/>
      <w:spacing w:before="240" w:after="120" w:line="240" w:lineRule="atLeast"/>
      <w:jc w:val="center"/>
    </w:pPr>
    <w:rPr>
      <w:rFonts w:ascii="Minion Pro" w:hAnsi="Minion Pro" w:cs="Cordia New"/>
      <w:noProof/>
      <w:color w:val="000000"/>
      <w:szCs w:val="22"/>
      <w:lang w:bidi="en-US"/>
    </w:rPr>
  </w:style>
  <w:style w:type="paragraph" w:customStyle="1" w:styleId="TSP41tablecaption">
    <w:name w:val="TSP_4.1_table_caption"/>
    <w:qFormat/>
    <w:rsid w:val="00BD0D11"/>
    <w:pPr>
      <w:adjustRightInd w:val="0"/>
      <w:snapToGrid w:val="0"/>
      <w:spacing w:before="240" w:after="120" w:line="240" w:lineRule="atLeast"/>
      <w:jc w:val="both"/>
    </w:pPr>
    <w:rPr>
      <w:rFonts w:ascii="Minion Pro" w:eastAsia="Times New Roman" w:hAnsi="Minion Pro" w:cs="Cordia New"/>
      <w:color w:val="000000"/>
      <w:szCs w:val="22"/>
      <w:lang w:eastAsia="de-DE" w:bidi="en-US"/>
    </w:rPr>
  </w:style>
  <w:style w:type="paragraph" w:customStyle="1" w:styleId="TSP42tablebody">
    <w:name w:val="TSP_4.2_table_body"/>
    <w:qFormat/>
    <w:rsid w:val="00BD0D11"/>
    <w:pPr>
      <w:adjustRightInd w:val="0"/>
      <w:snapToGrid w:val="0"/>
      <w:spacing w:line="240" w:lineRule="atLeast"/>
      <w:jc w:val="center"/>
    </w:pPr>
    <w:rPr>
      <w:rFonts w:ascii="Minion Pro" w:eastAsia="Times New Roman" w:hAnsi="Minion Pro"/>
      <w:snapToGrid w:val="0"/>
      <w:color w:val="000000"/>
      <w:lang w:eastAsia="de-DE" w:bidi="en-US"/>
    </w:rPr>
  </w:style>
  <w:style w:type="paragraph" w:customStyle="1" w:styleId="TSP43tablefooter">
    <w:name w:val="TSP_4.3_table_footer"/>
    <w:next w:val="TSP31text"/>
    <w:qFormat/>
    <w:rsid w:val="00BD0D11"/>
    <w:pPr>
      <w:adjustRightInd w:val="0"/>
      <w:snapToGrid w:val="0"/>
      <w:spacing w:after="240" w:line="240" w:lineRule="atLeast"/>
      <w:jc w:val="both"/>
    </w:pPr>
    <w:rPr>
      <w:rFonts w:ascii="Minion Pro" w:eastAsia="Times New Roman" w:hAnsi="Minion Pro" w:cs="Cordia New"/>
      <w:color w:val="000000"/>
      <w:szCs w:val="22"/>
      <w:lang w:eastAsia="de-DE" w:bidi="en-US"/>
    </w:rPr>
  </w:style>
  <w:style w:type="paragraph" w:customStyle="1" w:styleId="TSP511onefigurecaption">
    <w:name w:val="TSP_5.1.1_one_figure_caption"/>
    <w:qFormat/>
    <w:rsid w:val="00BD0D11"/>
    <w:pPr>
      <w:adjustRightInd w:val="0"/>
      <w:snapToGrid w:val="0"/>
      <w:spacing w:before="120" w:after="240" w:line="240" w:lineRule="atLeast"/>
      <w:jc w:val="center"/>
    </w:pPr>
    <w:rPr>
      <w:rFonts w:ascii="Minion Pro" w:hAnsi="Minion Pro"/>
      <w:noProof/>
      <w:color w:val="000000"/>
      <w:lang w:bidi="en-US"/>
    </w:rPr>
  </w:style>
  <w:style w:type="paragraph" w:customStyle="1" w:styleId="TSP51figurecaption">
    <w:name w:val="TSP_5.1_figure_caption"/>
    <w:qFormat/>
    <w:rsid w:val="00BD0D11"/>
    <w:pPr>
      <w:adjustRightInd w:val="0"/>
      <w:snapToGrid w:val="0"/>
      <w:spacing w:before="120" w:after="240" w:line="240" w:lineRule="atLeast"/>
      <w:jc w:val="both"/>
    </w:pPr>
    <w:rPr>
      <w:rFonts w:ascii="Minion Pro" w:eastAsia="Times New Roman" w:hAnsi="Minion Pro"/>
      <w:color w:val="000000"/>
      <w:lang w:eastAsia="de-DE" w:bidi="en-US"/>
    </w:rPr>
  </w:style>
  <w:style w:type="paragraph" w:customStyle="1" w:styleId="TSP52figure">
    <w:name w:val="TSP_5.2_figure"/>
    <w:qFormat/>
    <w:rsid w:val="00BD0D11"/>
    <w:pPr>
      <w:adjustRightInd w:val="0"/>
      <w:snapToGrid w:val="0"/>
      <w:spacing w:before="240" w:after="120" w:line="240" w:lineRule="atLeast"/>
      <w:jc w:val="center"/>
    </w:pPr>
    <w:rPr>
      <w:rFonts w:ascii="Minion Pro" w:eastAsia="Times New Roman" w:hAnsi="Minion Pro"/>
      <w:snapToGrid w:val="0"/>
      <w:color w:val="000000"/>
      <w:lang w:eastAsia="de-DE" w:bidi="en-US"/>
    </w:rPr>
  </w:style>
  <w:style w:type="paragraph" w:styleId="BalloonText">
    <w:name w:val="Balloon Text"/>
    <w:basedOn w:val="Normal"/>
    <w:link w:val="BalloonTextChar"/>
    <w:uiPriority w:val="99"/>
    <w:rsid w:val="00397AC9"/>
    <w:rPr>
      <w:rFonts w:cs="Tahoma"/>
      <w:szCs w:val="18"/>
    </w:rPr>
  </w:style>
  <w:style w:type="character" w:customStyle="1" w:styleId="BalloonTextChar">
    <w:name w:val="Balloon Text Char"/>
    <w:link w:val="BalloonText"/>
    <w:uiPriority w:val="99"/>
    <w:rsid w:val="00397AC9"/>
    <w:rPr>
      <w:rFonts w:ascii="Minion Pro" w:hAnsi="Minion Pro" w:cs="Tahoma"/>
      <w:noProof/>
      <w:color w:val="000000"/>
      <w:szCs w:val="18"/>
    </w:rPr>
  </w:style>
  <w:style w:type="character" w:styleId="LineNumber">
    <w:name w:val="line number"/>
    <w:uiPriority w:val="99"/>
    <w:rsid w:val="00397AC9"/>
    <w:rPr>
      <w:rFonts w:ascii="Minion Pro" w:hAnsi="Minion Pro"/>
      <w:sz w:val="16"/>
    </w:rPr>
  </w:style>
  <w:style w:type="paragraph" w:customStyle="1" w:styleId="TSP61Citation">
    <w:name w:val="TSP_6.1_Citation"/>
    <w:qFormat/>
    <w:rsid w:val="00BD0D11"/>
    <w:pPr>
      <w:adjustRightInd w:val="0"/>
      <w:snapToGrid w:val="0"/>
      <w:spacing w:line="240" w:lineRule="atLeast"/>
    </w:pPr>
    <w:rPr>
      <w:rFonts w:ascii="Minion Pro" w:hAnsi="Minion Pro" w:cs="Cordia New"/>
      <w:sz w:val="22"/>
      <w:szCs w:val="22"/>
    </w:rPr>
  </w:style>
  <w:style w:type="character" w:styleId="Hyperlink">
    <w:name w:val="Hyperlink"/>
    <w:qFormat/>
    <w:rsid w:val="00397AC9"/>
    <w:rPr>
      <w:color w:val="2F5496" w:themeColor="accent1" w:themeShade="BF"/>
      <w:u w:val="single"/>
    </w:rPr>
  </w:style>
  <w:style w:type="character" w:customStyle="1" w:styleId="UnresolvedMention1">
    <w:name w:val="Unresolved Mention1"/>
    <w:uiPriority w:val="99"/>
    <w:unhideWhenUsed/>
    <w:rsid w:val="00A65FB0"/>
    <w:rPr>
      <w:color w:val="605E5C"/>
      <w:shd w:val="clear" w:color="auto" w:fill="E1DFDD"/>
    </w:rPr>
  </w:style>
  <w:style w:type="table" w:styleId="TableGrid">
    <w:name w:val="Table Grid"/>
    <w:basedOn w:val="TableNormal"/>
    <w:uiPriority w:val="39"/>
    <w:qFormat/>
    <w:rsid w:val="00397AC9"/>
    <w:pPr>
      <w:spacing w:line="260" w:lineRule="atLeast"/>
      <w:jc w:val="both"/>
    </w:pPr>
    <w:rPr>
      <w:rFonts w:ascii="Minion Pro" w:hAnsi="Minion Pro"/>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506B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SP62BackMatter">
    <w:name w:val="TSP_6.2_BackMatter"/>
    <w:qFormat/>
    <w:rsid w:val="000C53B9"/>
    <w:pPr>
      <w:adjustRightInd w:val="0"/>
      <w:snapToGrid w:val="0"/>
      <w:spacing w:before="120" w:after="120" w:line="240" w:lineRule="atLeast"/>
      <w:jc w:val="both"/>
    </w:pPr>
    <w:rPr>
      <w:rFonts w:ascii="Minion Pro" w:eastAsia="Times New Roman" w:hAnsi="Minion Pro"/>
      <w:snapToGrid w:val="0"/>
      <w:color w:val="000000"/>
      <w:lang w:eastAsia="en-US" w:bidi="en-US"/>
    </w:rPr>
  </w:style>
  <w:style w:type="paragraph" w:customStyle="1" w:styleId="TSP63Notes">
    <w:name w:val="TSP_6.3_Notes"/>
    <w:qFormat/>
    <w:rsid w:val="000C53B9"/>
    <w:pPr>
      <w:adjustRightInd w:val="0"/>
      <w:snapToGrid w:val="0"/>
      <w:spacing w:before="60" w:after="60" w:line="228" w:lineRule="auto"/>
      <w:jc w:val="both"/>
    </w:pPr>
    <w:rPr>
      <w:rFonts w:ascii="Minion Pro" w:hAnsi="Minion Pro"/>
      <w:snapToGrid w:val="0"/>
      <w:color w:val="000000"/>
      <w:sz w:val="18"/>
      <w:lang w:eastAsia="en-US" w:bidi="en-US"/>
    </w:rPr>
  </w:style>
  <w:style w:type="paragraph" w:customStyle="1" w:styleId="TSP71FootNotes">
    <w:name w:val="TSP_7.1_FootNotes"/>
    <w:qFormat/>
    <w:rsid w:val="00F14FB5"/>
    <w:pPr>
      <w:numPr>
        <w:numId w:val="3"/>
      </w:numPr>
      <w:adjustRightInd w:val="0"/>
      <w:snapToGrid w:val="0"/>
      <w:spacing w:before="60" w:after="60" w:line="228" w:lineRule="auto"/>
      <w:jc w:val="both"/>
    </w:pPr>
    <w:rPr>
      <w:rFonts w:ascii="Minion Pro" w:eastAsiaTheme="minorEastAsia" w:hAnsi="Minion Pro"/>
      <w:noProof/>
      <w:color w:val="000000"/>
      <w:sz w:val="18"/>
    </w:rPr>
  </w:style>
  <w:style w:type="paragraph" w:customStyle="1" w:styleId="TSP71References">
    <w:name w:val="TSP_7.1_References"/>
    <w:qFormat/>
    <w:rsid w:val="00BD0D11"/>
    <w:pPr>
      <w:numPr>
        <w:numId w:val="4"/>
      </w:numPr>
      <w:adjustRightInd w:val="0"/>
      <w:snapToGrid w:val="0"/>
      <w:spacing w:line="228" w:lineRule="auto"/>
      <w:ind w:left="425" w:hanging="425"/>
      <w:jc w:val="both"/>
    </w:pPr>
    <w:rPr>
      <w:rFonts w:ascii="Minion Pro" w:eastAsia="DengXian" w:hAnsi="Minion Pro"/>
      <w:color w:val="000000"/>
      <w:lang w:eastAsia="de-DE" w:bidi="en-US"/>
    </w:rPr>
  </w:style>
  <w:style w:type="paragraph" w:customStyle="1" w:styleId="TSP72Copyright">
    <w:name w:val="TSP_7.2_Copyright"/>
    <w:qFormat/>
    <w:rsid w:val="00673B6B"/>
    <w:pPr>
      <w:adjustRightInd w:val="0"/>
      <w:snapToGrid w:val="0"/>
      <w:spacing w:line="192" w:lineRule="auto"/>
      <w:jc w:val="both"/>
    </w:pPr>
    <w:rPr>
      <w:rFonts w:ascii="Minion Pro" w:eastAsia="Times New Roman" w:hAnsi="Minion Pro"/>
      <w:noProof/>
      <w:snapToGrid w:val="0"/>
      <w:color w:val="000000"/>
      <w:sz w:val="18"/>
      <w:lang w:val="en-GB" w:eastAsia="en-GB"/>
    </w:rPr>
  </w:style>
  <w:style w:type="paragraph" w:customStyle="1" w:styleId="TSP73CopyrightImage">
    <w:name w:val="TSP_7.3_CopyrightImage"/>
    <w:qFormat/>
    <w:rsid w:val="00BD0D11"/>
    <w:pPr>
      <w:adjustRightInd w:val="0"/>
      <w:snapToGrid w:val="0"/>
      <w:spacing w:before="20" w:line="228" w:lineRule="auto"/>
    </w:pPr>
    <w:rPr>
      <w:rFonts w:ascii="Minion Pro" w:eastAsia="Times New Roman" w:hAnsi="Minion Pro"/>
      <w:color w:val="000000"/>
      <w:sz w:val="18"/>
      <w:lang w:eastAsia="de-CH"/>
    </w:rPr>
  </w:style>
  <w:style w:type="paragraph" w:customStyle="1" w:styleId="TSP81theorem">
    <w:name w:val="TSP_8.1_theorem"/>
    <w:qFormat/>
    <w:rsid w:val="00BD0D11"/>
    <w:pPr>
      <w:adjustRightInd w:val="0"/>
      <w:snapToGrid w:val="0"/>
      <w:spacing w:before="240" w:after="240" w:line="240" w:lineRule="atLeast"/>
      <w:jc w:val="both"/>
    </w:pPr>
    <w:rPr>
      <w:rFonts w:ascii="Minion Pro" w:eastAsia="Times New Roman" w:hAnsi="Minion Pro"/>
      <w:i/>
      <w:snapToGrid w:val="0"/>
      <w:color w:val="000000"/>
      <w:sz w:val="22"/>
      <w:szCs w:val="22"/>
      <w:lang w:eastAsia="de-DE" w:bidi="en-US"/>
    </w:rPr>
  </w:style>
  <w:style w:type="paragraph" w:customStyle="1" w:styleId="TSP82proof">
    <w:name w:val="TSP_8.2_proof"/>
    <w:qFormat/>
    <w:rsid w:val="00BD0D11"/>
    <w:pPr>
      <w:adjustRightInd w:val="0"/>
      <w:snapToGrid w:val="0"/>
      <w:spacing w:before="240" w:after="240" w:line="240" w:lineRule="atLeast"/>
      <w:jc w:val="both"/>
    </w:pPr>
    <w:rPr>
      <w:rFonts w:ascii="Minion Pro" w:eastAsia="Times New Roman" w:hAnsi="Minion Pro"/>
      <w:snapToGrid w:val="0"/>
      <w:color w:val="000000"/>
      <w:sz w:val="22"/>
      <w:szCs w:val="22"/>
      <w:lang w:eastAsia="de-DE" w:bidi="en-US"/>
    </w:rPr>
  </w:style>
  <w:style w:type="paragraph" w:customStyle="1" w:styleId="TSPequationFram">
    <w:name w:val="TSP_equationFram"/>
    <w:qFormat/>
    <w:rsid w:val="00BD0D11"/>
    <w:pPr>
      <w:adjustRightInd w:val="0"/>
      <w:snapToGrid w:val="0"/>
      <w:spacing w:before="120" w:after="120"/>
    </w:pPr>
    <w:rPr>
      <w:rFonts w:ascii="Minion Pro" w:eastAsia="Times New Roman" w:hAnsi="Minion Pro"/>
      <w:snapToGrid w:val="0"/>
      <w:color w:val="000000"/>
      <w:sz w:val="22"/>
      <w:szCs w:val="22"/>
      <w:lang w:eastAsia="de-DE" w:bidi="en-US"/>
    </w:rPr>
  </w:style>
  <w:style w:type="paragraph" w:customStyle="1" w:styleId="TSPfooter">
    <w:name w:val="TSP_footer"/>
    <w:qFormat/>
    <w:rsid w:val="00BD0D11"/>
    <w:pPr>
      <w:adjustRightInd w:val="0"/>
      <w:snapToGrid w:val="0"/>
      <w:spacing w:line="228" w:lineRule="auto"/>
      <w:jc w:val="both"/>
    </w:pPr>
    <w:rPr>
      <w:rFonts w:ascii="Minion Pro" w:eastAsia="Times New Roman" w:hAnsi="Minion Pro"/>
      <w:color w:val="000000"/>
      <w:sz w:val="16"/>
      <w:lang w:eastAsia="de-DE"/>
    </w:rPr>
  </w:style>
  <w:style w:type="paragraph" w:customStyle="1" w:styleId="TSPfooterfirstpage">
    <w:name w:val="TSP_footer_firstpage"/>
    <w:qFormat/>
    <w:rsid w:val="00BD0D11"/>
    <w:pPr>
      <w:tabs>
        <w:tab w:val="right" w:pos="8845"/>
      </w:tabs>
      <w:suppressAutoHyphens/>
      <w:snapToGrid w:val="0"/>
      <w:spacing w:line="228" w:lineRule="auto"/>
      <w:jc w:val="both"/>
    </w:pPr>
    <w:rPr>
      <w:rFonts w:ascii="Minion Pro" w:eastAsia="Times New Roman" w:hAnsi="Minion Pro"/>
      <w:color w:val="000000"/>
      <w:sz w:val="16"/>
      <w:lang w:eastAsia="de-DE"/>
    </w:rPr>
  </w:style>
  <w:style w:type="paragraph" w:customStyle="1" w:styleId="TSPheader">
    <w:name w:val="TSP_header"/>
    <w:qFormat/>
    <w:rsid w:val="00673B6B"/>
    <w:pPr>
      <w:adjustRightInd w:val="0"/>
      <w:snapToGrid w:val="0"/>
      <w:spacing w:line="228" w:lineRule="auto"/>
      <w:jc w:val="both"/>
    </w:pPr>
    <w:rPr>
      <w:rFonts w:ascii="Minion Pro" w:eastAsia="Times New Roman" w:hAnsi="Minion Pro"/>
      <w:iCs/>
      <w:color w:val="000000"/>
      <w:sz w:val="16"/>
      <w:lang w:eastAsia="de-DE"/>
    </w:rPr>
  </w:style>
  <w:style w:type="paragraph" w:customStyle="1" w:styleId="TSPheadercitation">
    <w:name w:val="TSP_header_citation"/>
    <w:qFormat/>
    <w:rsid w:val="00673B6B"/>
    <w:pPr>
      <w:spacing w:line="228" w:lineRule="auto"/>
    </w:pPr>
    <w:rPr>
      <w:rFonts w:ascii="Minion Pro" w:eastAsia="Times New Roman" w:hAnsi="Minion Pro"/>
      <w:snapToGrid w:val="0"/>
      <w:color w:val="000000"/>
      <w:sz w:val="16"/>
      <w:lang w:eastAsia="de-DE" w:bidi="en-US"/>
    </w:rPr>
  </w:style>
  <w:style w:type="paragraph" w:customStyle="1" w:styleId="TSPheaderjournallogo">
    <w:name w:val="TSP_header_journal_logo"/>
    <w:qFormat/>
    <w:rsid w:val="000C53B9"/>
    <w:pPr>
      <w:adjustRightInd w:val="0"/>
      <w:snapToGrid w:val="0"/>
      <w:spacing w:line="240" w:lineRule="atLeast"/>
    </w:pPr>
    <w:rPr>
      <w:rFonts w:ascii="Minion Pro" w:eastAsia="Times New Roman" w:hAnsi="Minion Pro"/>
      <w:color w:val="000000"/>
      <w:sz w:val="22"/>
      <w:szCs w:val="22"/>
      <w:lang w:eastAsia="de-CH"/>
    </w:rPr>
  </w:style>
  <w:style w:type="paragraph" w:customStyle="1" w:styleId="TSPheadertsplogo">
    <w:name w:val="TSP_header_tsp_logo"/>
    <w:qFormat/>
    <w:rsid w:val="00BD0D11"/>
    <w:pPr>
      <w:adjustRightInd w:val="0"/>
      <w:snapToGrid w:val="0"/>
      <w:spacing w:line="240" w:lineRule="atLeast"/>
      <w:jc w:val="right"/>
    </w:pPr>
    <w:rPr>
      <w:rFonts w:ascii="Minion Pro" w:eastAsia="Times New Roman" w:hAnsi="Minion Pro"/>
      <w:color w:val="000000"/>
      <w:sz w:val="22"/>
      <w:szCs w:val="22"/>
      <w:lang w:eastAsia="de-CH"/>
    </w:rPr>
  </w:style>
  <w:style w:type="paragraph" w:customStyle="1" w:styleId="TSPtext">
    <w:name w:val="TSP_text"/>
    <w:qFormat/>
    <w:rsid w:val="000C53B9"/>
    <w:pPr>
      <w:snapToGrid w:val="0"/>
      <w:spacing w:line="240" w:lineRule="atLeast"/>
      <w:ind w:firstLine="425"/>
      <w:jc w:val="both"/>
    </w:pPr>
    <w:rPr>
      <w:rFonts w:ascii="Minion Pro" w:eastAsia="Times New Roman" w:hAnsi="Minion Pro"/>
      <w:noProof/>
      <w:snapToGrid w:val="0"/>
      <w:color w:val="000000"/>
      <w:sz w:val="22"/>
      <w:szCs w:val="22"/>
      <w:lang w:eastAsia="de-DE" w:bidi="en-US"/>
    </w:rPr>
  </w:style>
  <w:style w:type="paragraph" w:customStyle="1" w:styleId="TSPtitle">
    <w:name w:val="TSP_title"/>
    <w:qFormat/>
    <w:rsid w:val="000C53B9"/>
    <w:pPr>
      <w:adjustRightInd w:val="0"/>
      <w:snapToGrid w:val="0"/>
      <w:spacing w:before="240" w:after="240" w:line="240" w:lineRule="atLeast"/>
      <w:jc w:val="both"/>
    </w:pPr>
    <w:rPr>
      <w:rFonts w:ascii="Minion Pro" w:eastAsia="Times New Roman" w:hAnsi="Minion Pro"/>
      <w:b/>
      <w:snapToGrid w:val="0"/>
      <w:color w:val="000000"/>
      <w:sz w:val="28"/>
      <w:lang w:eastAsia="de-DE" w:bidi="en-US"/>
    </w:rPr>
  </w:style>
  <w:style w:type="character" w:customStyle="1" w:styleId="apple-converted-space">
    <w:name w:val="apple-converted-space"/>
    <w:rsid w:val="00EA6902"/>
  </w:style>
  <w:style w:type="paragraph" w:styleId="Bibliography">
    <w:name w:val="Bibliography"/>
    <w:basedOn w:val="Normal"/>
    <w:next w:val="Normal"/>
    <w:uiPriority w:val="37"/>
    <w:semiHidden/>
    <w:unhideWhenUsed/>
    <w:rsid w:val="00EA6902"/>
  </w:style>
  <w:style w:type="paragraph" w:styleId="BodyText">
    <w:name w:val="Body Text"/>
    <w:link w:val="BodyTextChar"/>
    <w:qFormat/>
    <w:rsid w:val="00397AC9"/>
    <w:pPr>
      <w:spacing w:after="120" w:line="340" w:lineRule="atLeast"/>
      <w:jc w:val="both"/>
    </w:pPr>
    <w:rPr>
      <w:rFonts w:ascii="Minion Pro" w:hAnsi="Minion Pro"/>
      <w:color w:val="000000"/>
      <w:sz w:val="24"/>
      <w:lang w:eastAsia="de-DE"/>
    </w:rPr>
  </w:style>
  <w:style w:type="character" w:customStyle="1" w:styleId="BodyTextChar">
    <w:name w:val="Body Text Char"/>
    <w:link w:val="BodyText"/>
    <w:rsid w:val="00397AC9"/>
    <w:rPr>
      <w:rFonts w:ascii="Minion Pro" w:hAnsi="Minion Pro"/>
      <w:color w:val="000000"/>
      <w:sz w:val="24"/>
      <w:lang w:eastAsia="de-DE"/>
    </w:rPr>
  </w:style>
  <w:style w:type="character" w:styleId="CommentReference">
    <w:name w:val="annotation reference"/>
    <w:rsid w:val="00EA6902"/>
    <w:rPr>
      <w:sz w:val="21"/>
      <w:szCs w:val="21"/>
    </w:rPr>
  </w:style>
  <w:style w:type="paragraph" w:styleId="CommentText">
    <w:name w:val="annotation text"/>
    <w:basedOn w:val="Normal"/>
    <w:link w:val="CommentTextChar"/>
    <w:rsid w:val="00397AC9"/>
  </w:style>
  <w:style w:type="character" w:customStyle="1" w:styleId="CommentTextChar">
    <w:name w:val="Comment Text Char"/>
    <w:link w:val="CommentText"/>
    <w:rsid w:val="00397AC9"/>
    <w:rPr>
      <w:rFonts w:ascii="Minion Pro" w:hAnsi="Minion Pro"/>
      <w:noProof/>
      <w:color w:val="000000"/>
    </w:rPr>
  </w:style>
  <w:style w:type="paragraph" w:styleId="CommentSubject">
    <w:name w:val="annotation subject"/>
    <w:basedOn w:val="CommentText"/>
    <w:next w:val="CommentText"/>
    <w:link w:val="CommentSubjectChar"/>
    <w:rsid w:val="00397AC9"/>
    <w:rPr>
      <w:b/>
      <w:bCs/>
    </w:rPr>
  </w:style>
  <w:style w:type="character" w:customStyle="1" w:styleId="CommentSubjectChar">
    <w:name w:val="Comment Subject Char"/>
    <w:link w:val="CommentSubject"/>
    <w:rsid w:val="00397AC9"/>
    <w:rPr>
      <w:rFonts w:ascii="Minion Pro" w:hAnsi="Minion Pro"/>
      <w:b/>
      <w:bCs/>
      <w:noProof/>
      <w:color w:val="000000"/>
    </w:rPr>
  </w:style>
  <w:style w:type="character" w:styleId="EndnoteReference">
    <w:name w:val="endnote reference"/>
    <w:rsid w:val="00EA6902"/>
    <w:rPr>
      <w:vertAlign w:val="superscript"/>
    </w:rPr>
  </w:style>
  <w:style w:type="paragraph" w:styleId="EndnoteText">
    <w:name w:val="endnote text"/>
    <w:basedOn w:val="Normal"/>
    <w:link w:val="EndnoteTextChar"/>
    <w:semiHidden/>
    <w:unhideWhenUsed/>
    <w:rsid w:val="00EA6902"/>
    <w:pPr>
      <w:spacing w:line="240" w:lineRule="auto"/>
    </w:pPr>
  </w:style>
  <w:style w:type="character" w:customStyle="1" w:styleId="EndnoteTextChar">
    <w:name w:val="Endnote Text Char"/>
    <w:link w:val="EndnoteText"/>
    <w:semiHidden/>
    <w:rsid w:val="00EA6902"/>
    <w:rPr>
      <w:rFonts w:ascii="Palatino Linotype" w:hAnsi="Palatino Linotype"/>
      <w:noProof/>
      <w:color w:val="000000"/>
    </w:rPr>
  </w:style>
  <w:style w:type="character" w:styleId="FollowedHyperlink">
    <w:name w:val="FollowedHyperlink"/>
    <w:rsid w:val="00EA6902"/>
    <w:rPr>
      <w:color w:val="954F72"/>
      <w:u w:val="single"/>
    </w:rPr>
  </w:style>
  <w:style w:type="paragraph" w:styleId="FootnoteText">
    <w:name w:val="footnote text"/>
    <w:basedOn w:val="Normal"/>
    <w:link w:val="FootnoteTextChar"/>
    <w:semiHidden/>
    <w:unhideWhenUsed/>
    <w:rsid w:val="00EA6902"/>
    <w:pPr>
      <w:spacing w:line="240" w:lineRule="auto"/>
    </w:pPr>
  </w:style>
  <w:style w:type="character" w:customStyle="1" w:styleId="FootnoteTextChar">
    <w:name w:val="Footnote Text Char"/>
    <w:link w:val="FootnoteText"/>
    <w:semiHidden/>
    <w:rsid w:val="00EA6902"/>
    <w:rPr>
      <w:rFonts w:ascii="Palatino Linotype" w:hAnsi="Palatino Linotype"/>
      <w:noProof/>
      <w:color w:val="000000"/>
    </w:rPr>
  </w:style>
  <w:style w:type="paragraph" w:styleId="NormalWeb">
    <w:name w:val="Normal (Web)"/>
    <w:basedOn w:val="Normal"/>
    <w:uiPriority w:val="99"/>
    <w:qFormat/>
    <w:rsid w:val="00EA6902"/>
    <w:rPr>
      <w:szCs w:val="24"/>
    </w:rPr>
  </w:style>
  <w:style w:type="paragraph" w:customStyle="1" w:styleId="MsoFootnoteText0">
    <w:name w:val="MsoFootnoteText"/>
    <w:basedOn w:val="NormalWeb"/>
    <w:qFormat/>
    <w:rsid w:val="00397AC9"/>
  </w:style>
  <w:style w:type="character" w:styleId="PageNumber">
    <w:name w:val="page number"/>
    <w:rsid w:val="00397AC9"/>
    <w:rPr>
      <w:rFonts w:ascii="Minion Pro" w:hAnsi="Minion Pro"/>
    </w:rPr>
  </w:style>
  <w:style w:type="character" w:styleId="PlaceholderText">
    <w:name w:val="Placeholder Text"/>
    <w:uiPriority w:val="99"/>
    <w:semiHidden/>
    <w:rsid w:val="00EA6902"/>
    <w:rPr>
      <w:color w:val="808080"/>
    </w:rPr>
  </w:style>
  <w:style w:type="character" w:customStyle="1" w:styleId="Heading1Char">
    <w:name w:val="Heading 1 Char"/>
    <w:basedOn w:val="DefaultParagraphFont"/>
    <w:link w:val="Heading1"/>
    <w:uiPriority w:val="9"/>
    <w:rsid w:val="00397AC9"/>
    <w:rPr>
      <w:rFonts w:asciiTheme="majorHAnsi" w:eastAsiaTheme="majorEastAsia" w:hAnsiTheme="majorHAnsi" w:cstheme="majorBidi"/>
      <w:noProof/>
      <w:color w:val="2F5496" w:themeColor="accent1" w:themeShade="BF"/>
      <w:sz w:val="32"/>
      <w:szCs w:val="32"/>
    </w:rPr>
  </w:style>
  <w:style w:type="character" w:customStyle="1" w:styleId="Heading2Char">
    <w:name w:val="Heading 2 Char"/>
    <w:basedOn w:val="DefaultParagraphFont"/>
    <w:link w:val="Heading2"/>
    <w:rsid w:val="00397AC9"/>
    <w:rPr>
      <w:rFonts w:asciiTheme="majorHAnsi" w:eastAsiaTheme="majorEastAsia" w:hAnsiTheme="majorHAnsi" w:cstheme="majorBidi"/>
      <w:noProof/>
      <w:color w:val="2F5496" w:themeColor="accent1" w:themeShade="BF"/>
      <w:sz w:val="26"/>
      <w:szCs w:val="26"/>
    </w:rPr>
  </w:style>
  <w:style w:type="paragraph" w:styleId="Caption">
    <w:name w:val="caption"/>
    <w:basedOn w:val="Normal"/>
    <w:next w:val="Normal"/>
    <w:qFormat/>
    <w:rsid w:val="00C34E4B"/>
    <w:pPr>
      <w:keepNext/>
      <w:spacing w:before="120" w:after="120"/>
      <w:jc w:val="center"/>
    </w:pPr>
    <w:rPr>
      <w:rFonts w:ascii="Palatino Linotype" w:eastAsiaTheme="minorEastAsia" w:hAnsi="Palatino Linotype"/>
      <w:b/>
      <w:noProof w:val="0"/>
      <w:kern w:val="2"/>
      <w14:ligatures w14:val="standardContextual"/>
    </w:rPr>
  </w:style>
  <w:style w:type="paragraph" w:customStyle="1" w:styleId="keyword">
    <w:name w:val="keyword"/>
    <w:basedOn w:val="Normal"/>
    <w:qFormat/>
    <w:rsid w:val="00C34E4B"/>
    <w:pPr>
      <w:spacing w:before="280"/>
    </w:pPr>
    <w:rPr>
      <w:rFonts w:ascii="Palatino Linotype" w:eastAsiaTheme="minorEastAsia" w:hAnsi="Palatino Linotype"/>
      <w:noProof w:val="0"/>
      <w:kern w:val="2"/>
      <w14:ligatures w14:val="standardContextual"/>
    </w:rPr>
  </w:style>
  <w:style w:type="paragraph" w:styleId="ListParagraph">
    <w:name w:val="List Paragraph"/>
    <w:basedOn w:val="Normal"/>
    <w:uiPriority w:val="34"/>
    <w:qFormat/>
    <w:rsid w:val="00C34E4B"/>
    <w:pPr>
      <w:ind w:firstLineChars="200" w:firstLine="420"/>
    </w:pPr>
    <w:rPr>
      <w:rFonts w:ascii="Palatino Linotype" w:eastAsiaTheme="minorEastAsia" w:hAnsi="Palatino Linotype"/>
      <w:noProof w:val="0"/>
      <w:kern w:val="2"/>
      <w14:ligatures w14:val="standardContextual"/>
    </w:rPr>
  </w:style>
  <w:style w:type="paragraph" w:customStyle="1" w:styleId="MDPI81references">
    <w:name w:val="MDPI_8.1_references"/>
    <w:qFormat/>
    <w:rsid w:val="00C608D5"/>
    <w:pPr>
      <w:numPr>
        <w:numId w:val="5"/>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customStyle="1" w:styleId="MDPI31text">
    <w:name w:val="MDPI_3.1_text"/>
    <w:qFormat/>
    <w:rsid w:val="00A77E61"/>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77E61"/>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A77E61"/>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77E61"/>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77E61"/>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A77E61"/>
    <w:pPr>
      <w:adjustRightInd w:val="0"/>
      <w:snapToGrid w:val="0"/>
      <w:spacing w:before="240" w:after="120"/>
      <w:jc w:val="center"/>
    </w:pPr>
    <w:rPr>
      <w:rFonts w:ascii="Palatino Linotype" w:eastAsia="Times New Roman" w:hAnsi="Palatino Linotype"/>
      <w:snapToGrid w:val="0"/>
      <w:color w:val="000000"/>
      <w:lang w:eastAsia="de-DE" w:bidi="en-US"/>
    </w:rPr>
  </w:style>
  <w:style w:type="character" w:customStyle="1" w:styleId="fontstyle01">
    <w:name w:val="fontstyle01"/>
    <w:basedOn w:val="DefaultParagraphFont"/>
    <w:rsid w:val="00C34A0D"/>
    <w:rPr>
      <w:rFonts w:ascii="SegoeUI-Bold" w:hAnsi="SegoeUI-Bold" w:hint="default"/>
      <w:b/>
      <w:bCs/>
      <w:i w:val="0"/>
      <w:iCs w:val="0"/>
      <w:color w:val="000000"/>
      <w:sz w:val="28"/>
      <w:szCs w:val="28"/>
    </w:rPr>
  </w:style>
  <w:style w:type="paragraph" w:styleId="NoSpacing">
    <w:name w:val="No Spacing"/>
    <w:link w:val="NoSpacingChar"/>
    <w:uiPriority w:val="1"/>
    <w:qFormat/>
    <w:rsid w:val="009A707C"/>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9A707C"/>
    <w:rPr>
      <w:rFonts w:asciiTheme="minorHAnsi" w:eastAsiaTheme="minorEastAsia" w:hAnsiTheme="minorHAnsi" w:cstheme="minorBidi"/>
      <w:sz w:val="22"/>
      <w:szCs w:val="22"/>
      <w:lang w:eastAsia="ja-JP"/>
    </w:rPr>
  </w:style>
  <w:style w:type="table" w:customStyle="1" w:styleId="TableGrid1">
    <w:name w:val="Table Grid1"/>
    <w:basedOn w:val="TableNormal"/>
    <w:next w:val="TableGrid"/>
    <w:uiPriority w:val="59"/>
    <w:rsid w:val="009A70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A70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b">
    <w:name w:val="ffb"/>
    <w:basedOn w:val="DefaultParagraphFont"/>
    <w:rsid w:val="009A707C"/>
  </w:style>
  <w:style w:type="character" w:customStyle="1" w:styleId="wse">
    <w:name w:val="wse"/>
    <w:basedOn w:val="DefaultParagraphFont"/>
    <w:rsid w:val="009A707C"/>
  </w:style>
  <w:style w:type="character" w:customStyle="1" w:styleId="ff8">
    <w:name w:val="ff8"/>
    <w:basedOn w:val="DefaultParagraphFont"/>
    <w:rsid w:val="009A707C"/>
  </w:style>
  <w:style w:type="character" w:customStyle="1" w:styleId="ws6">
    <w:name w:val="ws6"/>
    <w:basedOn w:val="DefaultParagraphFont"/>
    <w:rsid w:val="009A707C"/>
  </w:style>
  <w:style w:type="character" w:customStyle="1" w:styleId="ff2">
    <w:name w:val="ff2"/>
    <w:basedOn w:val="DefaultParagraphFont"/>
    <w:rsid w:val="009A707C"/>
  </w:style>
  <w:style w:type="character" w:customStyle="1" w:styleId="ff3">
    <w:name w:val="ff3"/>
    <w:basedOn w:val="DefaultParagraphFont"/>
    <w:rsid w:val="009A707C"/>
  </w:style>
  <w:style w:type="character" w:customStyle="1" w:styleId="ls6">
    <w:name w:val="ls6"/>
    <w:basedOn w:val="DefaultParagraphFont"/>
    <w:rsid w:val="009A707C"/>
  </w:style>
  <w:style w:type="character" w:styleId="Emphasis">
    <w:name w:val="Emphasis"/>
    <w:basedOn w:val="DefaultParagraphFont"/>
    <w:uiPriority w:val="20"/>
    <w:qFormat/>
    <w:rsid w:val="009A707C"/>
    <w:rPr>
      <w:i/>
      <w:iCs/>
    </w:rPr>
  </w:style>
  <w:style w:type="character" w:customStyle="1" w:styleId="HTMLPreformattedChar">
    <w:name w:val="HTML Preformatted Char"/>
    <w:basedOn w:val="DefaultParagraphFont"/>
    <w:link w:val="HTMLPreformatted"/>
    <w:uiPriority w:val="99"/>
    <w:semiHidden/>
    <w:rsid w:val="009A707C"/>
    <w:rPr>
      <w:rFonts w:ascii="Consolas" w:hAnsi="Consolas"/>
    </w:rPr>
  </w:style>
  <w:style w:type="paragraph" w:styleId="HTMLPreformatted">
    <w:name w:val="HTML Preformatted"/>
    <w:basedOn w:val="Normal"/>
    <w:link w:val="HTMLPreformattedChar"/>
    <w:uiPriority w:val="99"/>
    <w:semiHidden/>
    <w:unhideWhenUsed/>
    <w:rsid w:val="009A707C"/>
    <w:pPr>
      <w:bidi/>
      <w:spacing w:line="240" w:lineRule="auto"/>
      <w:jc w:val="left"/>
    </w:pPr>
    <w:rPr>
      <w:rFonts w:ascii="Consolas" w:hAnsi="Consolas"/>
      <w:noProof w:val="0"/>
      <w:color w:val="auto"/>
    </w:rPr>
  </w:style>
  <w:style w:type="character" w:customStyle="1" w:styleId="HTMLPreformattedChar1">
    <w:name w:val="HTML Preformatted Char1"/>
    <w:basedOn w:val="DefaultParagraphFont"/>
    <w:uiPriority w:val="99"/>
    <w:semiHidden/>
    <w:rsid w:val="009A707C"/>
    <w:rPr>
      <w:rFonts w:ascii="Consolas" w:hAnsi="Consolas"/>
      <w:noProof/>
      <w:color w:val="000000"/>
    </w:rPr>
  </w:style>
  <w:style w:type="character" w:customStyle="1" w:styleId="Heading3Char">
    <w:name w:val="Heading 3 Char"/>
    <w:basedOn w:val="DefaultParagraphFont"/>
    <w:link w:val="Heading3"/>
    <w:uiPriority w:val="9"/>
    <w:semiHidden/>
    <w:qFormat/>
    <w:rsid w:val="00587784"/>
    <w:rPr>
      <w:rFonts w:ascii="Times New Roman" w:eastAsia="Times New Roman" w:hAnsi="Times New Roman"/>
      <w:b/>
      <w:bCs/>
      <w:sz w:val="27"/>
      <w:szCs w:val="27"/>
      <w:lang w:eastAsia="ja-JP"/>
    </w:rPr>
  </w:style>
  <w:style w:type="character" w:styleId="Strong">
    <w:name w:val="Strong"/>
    <w:basedOn w:val="DefaultParagraphFont"/>
    <w:uiPriority w:val="22"/>
    <w:qFormat/>
    <w:rsid w:val="00587784"/>
    <w:rPr>
      <w:b/>
      <w:bCs/>
    </w:rPr>
  </w:style>
  <w:style w:type="paragraph" w:customStyle="1" w:styleId="last">
    <w:name w:val="last"/>
    <w:basedOn w:val="Normal"/>
    <w:qFormat/>
    <w:rsid w:val="00587784"/>
    <w:pPr>
      <w:spacing w:before="100" w:beforeAutospacing="1" w:after="100" w:afterAutospacing="1" w:line="240" w:lineRule="auto"/>
      <w:jc w:val="left"/>
    </w:pPr>
    <w:rPr>
      <w:rFonts w:ascii="Times New Roman" w:eastAsia="Times New Roman" w:hAnsi="Times New Roman"/>
      <w:noProof w:val="0"/>
      <w:color w:val="auto"/>
      <w:sz w:val="24"/>
      <w:szCs w:val="24"/>
      <w:lang w:val="en-GB" w:eastAsia="en-GB"/>
    </w:rPr>
  </w:style>
  <w:style w:type="paragraph" w:customStyle="1" w:styleId="FirstParagraph">
    <w:name w:val="First Paragraph"/>
    <w:basedOn w:val="BodyText"/>
    <w:next w:val="BodyText"/>
    <w:qFormat/>
    <w:rsid w:val="00587784"/>
    <w:pPr>
      <w:spacing w:before="180" w:after="180" w:line="240" w:lineRule="auto"/>
      <w:jc w:val="left"/>
    </w:pPr>
    <w:rPr>
      <w:rFonts w:ascii="Calibri" w:eastAsia="Calibri" w:hAnsi="Calibri" w:cs="Arial"/>
      <w:color w:val="auto"/>
      <w:szCs w:val="24"/>
      <w:lang w:eastAsia="en-US"/>
    </w:rPr>
  </w:style>
  <w:style w:type="paragraph" w:customStyle="1" w:styleId="ds-markdown-paragraph">
    <w:name w:val="ds-markdown-paragraph"/>
    <w:basedOn w:val="Normal"/>
    <w:qFormat/>
    <w:rsid w:val="00587784"/>
    <w:pPr>
      <w:spacing w:before="100" w:beforeAutospacing="1" w:after="100" w:afterAutospacing="1" w:line="240" w:lineRule="auto"/>
    </w:pPr>
    <w:rPr>
      <w:rFonts w:ascii="Calibri" w:eastAsia="Times New Roman" w:hAnsi="Calibri"/>
      <w:noProof w:val="0"/>
      <w:color w:val="auto"/>
      <w:sz w:val="24"/>
      <w:szCs w:val="24"/>
      <w:lang w:eastAsia="en-US"/>
    </w:rPr>
  </w:style>
  <w:style w:type="paragraph" w:customStyle="1" w:styleId="pdq2pgselectionanchorcontainer">
    <w:name w:val="pdq2pg_selectionanchorcontainer"/>
    <w:basedOn w:val="Normal"/>
    <w:qFormat/>
    <w:rsid w:val="00587784"/>
    <w:pPr>
      <w:spacing w:before="100" w:beforeAutospacing="1" w:after="100" w:afterAutospacing="1" w:line="240" w:lineRule="auto"/>
      <w:jc w:val="left"/>
    </w:pPr>
    <w:rPr>
      <w:rFonts w:ascii="Times New Roman" w:eastAsia="Times New Roman" w:hAnsi="Times New Roman"/>
      <w:noProof w:val="0"/>
      <w:color w:val="auto"/>
      <w:sz w:val="24"/>
      <w:szCs w:val="24"/>
      <w:lang w:eastAsia="ja-JP"/>
    </w:rPr>
  </w:style>
  <w:style w:type="character" w:customStyle="1" w:styleId="mord">
    <w:name w:val="mord"/>
    <w:basedOn w:val="DefaultParagraphFont"/>
    <w:rsid w:val="00587784"/>
  </w:style>
  <w:style w:type="character" w:customStyle="1" w:styleId="mopen">
    <w:name w:val="mopen"/>
    <w:basedOn w:val="DefaultParagraphFont"/>
    <w:rsid w:val="00587784"/>
  </w:style>
  <w:style w:type="character" w:customStyle="1" w:styleId="mclose">
    <w:name w:val="mclose"/>
    <w:basedOn w:val="DefaultParagraphFont"/>
    <w:rsid w:val="00587784"/>
  </w:style>
  <w:style w:type="character" w:customStyle="1" w:styleId="mrel">
    <w:name w:val="mrel"/>
    <w:basedOn w:val="DefaultParagraphFont"/>
    <w:rsid w:val="00587784"/>
  </w:style>
  <w:style w:type="character" w:styleId="UnresolvedMention">
    <w:name w:val="Unresolved Mention"/>
    <w:basedOn w:val="DefaultParagraphFont"/>
    <w:uiPriority w:val="99"/>
    <w:semiHidden/>
    <w:unhideWhenUsed/>
    <w:rsid w:val="00A01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257/0022051026976" TargetMode="External"/><Relationship Id="rId26" Type="http://schemas.openxmlformats.org/officeDocument/2006/relationships/hyperlink" Target="https://doi.org/10.3386/w28990" TargetMode="External"/><Relationship Id="rId39" Type="http://schemas.openxmlformats.org/officeDocument/2006/relationships/hyperlink" Target="https://doi.org/10.2307/1913610" TargetMode="External"/><Relationship Id="rId21" Type="http://schemas.openxmlformats.org/officeDocument/2006/relationships/hyperlink" Target="https://doi.org/10.1016/j.jbusres.2021.08.011" TargetMode="External"/><Relationship Id="rId34" Type="http://schemas.openxmlformats.org/officeDocument/2006/relationships/hyperlink" Target="https://doi.org/10.5287/ora-xvn5jvp0x" TargetMode="External"/><Relationship Id="rId42" Type="http://schemas.openxmlformats.org/officeDocument/2006/relationships/hyperlink" Target="https://doi.org/10.3390/economies8020026" TargetMode="External"/><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hyperlink" Target="mailto:hasnaa.kamal@fcom.bu.edu.eg"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s://doi.org/10.3386/w26955" TargetMode="External"/><Relationship Id="rId11" Type="http://schemas.openxmlformats.org/officeDocument/2006/relationships/image" Target="media/image1.png"/><Relationship Id="rId24" Type="http://schemas.openxmlformats.org/officeDocument/2006/relationships/hyperlink" Target="https://doi.org/10.1007/s43253-020-00022-3" TargetMode="External"/><Relationship Id="rId32" Type="http://schemas.openxmlformats.org/officeDocument/2006/relationships/hyperlink" Target="https://doi.org/10.11114/bms.v7i1.5145" TargetMode="External"/><Relationship Id="rId37" Type="http://schemas.openxmlformats.org/officeDocument/2006/relationships/hyperlink" Target="https://doi.org/10.1108/IJSSP-07-2020-0323" TargetMode="External"/><Relationship Id="rId40" Type="http://schemas.openxmlformats.org/officeDocument/2006/relationships/hyperlink" Target="https://doi.org/10.9790/5933-1405061623&#8288;" TargetMode="External"/><Relationship Id="rId45" Type="http://schemas.openxmlformats.org/officeDocument/2006/relationships/hyperlink" Target="https://doi.org/10.3390/su10051661"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mailto:hasnaa.kamal@fcom.bu.edu.eg" TargetMode="External"/><Relationship Id="rId19" Type="http://schemas.openxmlformats.org/officeDocument/2006/relationships/hyperlink" Target="https://doi.org/10.1093/qje/qjv028" TargetMode="External"/><Relationship Id="rId31" Type="http://schemas.openxmlformats.org/officeDocument/2006/relationships/hyperlink" Target="https://doi.org/10.1002/isd2.12240" TargetMode="External"/><Relationship Id="rId44" Type="http://schemas.openxmlformats.org/officeDocument/2006/relationships/hyperlink" Target="https://doi.org/10.3390/su13147703"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oaa.ahmed01@fcom.bu.edu.eg" TargetMode="External"/><Relationship Id="rId14" Type="http://schemas.openxmlformats.org/officeDocument/2006/relationships/image" Target="media/image4.png"/><Relationship Id="rId22" Type="http://schemas.openxmlformats.org/officeDocument/2006/relationships/hyperlink" Target="https://doi.org/10.1007/s10734-017-0179-0" TargetMode="External"/><Relationship Id="rId27" Type="http://schemas.openxmlformats.org/officeDocument/2006/relationships/hyperlink" Target="https://doi.org/10.4018/978-1-7998-2448-0.ch059" TargetMode="External"/><Relationship Id="rId30" Type="http://schemas.openxmlformats.org/officeDocument/2006/relationships/hyperlink" Target="https://doi.org/10.21608/ijimct.2022.219953" TargetMode="External"/><Relationship Id="rId35" Type="http://schemas.openxmlformats.org/officeDocument/2006/relationships/hyperlink" Target="https://www.trade.gov/country-commercial-guides/egypt-information-and-communications-technology-and-digital-economy" TargetMode="External"/><Relationship Id="rId43" Type="http://schemas.openxmlformats.org/officeDocument/2006/relationships/hyperlink" Target="https://doi.org/10.1002/jae.616" TargetMode="External"/><Relationship Id="rId48" Type="http://schemas.openxmlformats.org/officeDocument/2006/relationships/header" Target="header2.xml"/><Relationship Id="rId8" Type="http://schemas.openxmlformats.org/officeDocument/2006/relationships/hyperlink" Target="mailto:hafez.shaltot@fcom.bu.edu.eg"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2307/1911963" TargetMode="External"/><Relationship Id="rId33" Type="http://schemas.openxmlformats.org/officeDocument/2006/relationships/hyperlink" Target="https://doi.org/10.1016/j.labeco.2018.02.003" TargetMode="External"/><Relationship Id="rId38" Type="http://schemas.openxmlformats.org/officeDocument/2006/relationships/hyperlink" Target="https://doi.org/10.1080/00036840500278103" TargetMode="External"/><Relationship Id="rId46" Type="http://schemas.openxmlformats.org/officeDocument/2006/relationships/hyperlink" Target="https://databank.worldbank.org/source/world-development-indicators" TargetMode="External"/><Relationship Id="rId20" Type="http://schemas.openxmlformats.org/officeDocument/2006/relationships/hyperlink" Target="https://doi.org/10.1108/IJSE-01-2023-0029" TargetMode="External"/><Relationship Id="rId41" Type="http://schemas.openxmlformats.org/officeDocument/2006/relationships/hyperlink" Target="https://doi.org/10.1016/j.jdec.2024.01.00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s://doi.org/10.1162/003355303322552801" TargetMode="External"/><Relationship Id="rId28" Type="http://schemas.openxmlformats.org/officeDocument/2006/relationships/hyperlink" Target="https://doi.org/10.1086/342055" TargetMode="External"/><Relationship Id="rId36" Type="http://schemas.openxmlformats.org/officeDocument/2006/relationships/hyperlink" Target="https://doi.org/10.5089/9798400232596.006" TargetMode="External"/><Relationship Id="rId4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ed%20Afify\Downloads\TSP_CMES_Template%20-%20Cop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TSP_CMES_Template - Copy</Template>
  <TotalTime>1</TotalTime>
  <Pages>30</Pages>
  <Words>11731</Words>
  <Characters>66870</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78445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Ahmed Afify</dc:creator>
  <cp:keywords/>
  <dc:description/>
  <cp:lastModifiedBy>mohab.solaiman@fcom.bu.edu.eg</cp:lastModifiedBy>
  <cp:revision>2</cp:revision>
  <cp:lastPrinted>2026-08-16T17:46:00Z</cp:lastPrinted>
  <dcterms:created xsi:type="dcterms:W3CDTF">2026-08-16T17:56:00Z</dcterms:created>
  <dcterms:modified xsi:type="dcterms:W3CDTF">2026-08-16T17:56:00Z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